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1155" w14:textId="77777777" w:rsidR="006B7BE6" w:rsidRPr="00B367CE" w:rsidRDefault="006B7BE6" w:rsidP="006B7BE6">
      <w:pPr>
        <w:pStyle w:val="Otsikko"/>
        <w:rPr>
          <w:rFonts w:cstheme="minorHAnsi"/>
        </w:rPr>
      </w:pPr>
    </w:p>
    <w:p w14:paraId="200A918F" w14:textId="77777777" w:rsidR="006B7BE6" w:rsidRPr="00B367CE" w:rsidRDefault="006B7BE6" w:rsidP="006B7BE6">
      <w:pPr>
        <w:pStyle w:val="Otsikko"/>
        <w:rPr>
          <w:rFonts w:cstheme="minorHAnsi"/>
        </w:rPr>
      </w:pPr>
    </w:p>
    <w:p w14:paraId="7776B658" w14:textId="77777777" w:rsidR="006B7BE6" w:rsidRPr="00B367CE" w:rsidRDefault="006B7BE6" w:rsidP="006B7BE6">
      <w:pPr>
        <w:pStyle w:val="Otsikko"/>
        <w:rPr>
          <w:rFonts w:cstheme="minorHAnsi"/>
        </w:rPr>
      </w:pPr>
    </w:p>
    <w:p w14:paraId="106F4990" w14:textId="77777777" w:rsidR="006B7BE6" w:rsidRPr="00B367CE" w:rsidRDefault="006B7BE6" w:rsidP="006B7BE6">
      <w:pPr>
        <w:pStyle w:val="Otsikko"/>
        <w:rPr>
          <w:rFonts w:cstheme="minorHAnsi"/>
        </w:rPr>
      </w:pPr>
    </w:p>
    <w:p w14:paraId="1C63DF88" w14:textId="22222C7F" w:rsidR="0014348E" w:rsidRPr="00B367CE" w:rsidRDefault="00E43FB2" w:rsidP="006B7BE6">
      <w:pPr>
        <w:pStyle w:val="Otsikko"/>
        <w:rPr>
          <w:rFonts w:cstheme="minorHAnsi"/>
        </w:rPr>
      </w:pPr>
      <w:r w:rsidRPr="00B367CE">
        <w:rPr>
          <w:rFonts w:cstheme="minorHAnsi"/>
        </w:rPr>
        <w:t>Workshop 3</w:t>
      </w:r>
      <w:r w:rsidR="00A2716E">
        <w:rPr>
          <w:rFonts w:cstheme="minorHAnsi"/>
        </w:rPr>
        <w:t>:</w:t>
      </w:r>
      <w:r w:rsidR="00A2716E">
        <w:rPr>
          <w:rFonts w:cstheme="minorHAnsi"/>
        </w:rPr>
        <w:br/>
      </w:r>
      <w:r w:rsidR="00235E30" w:rsidRPr="00235E30">
        <w:rPr>
          <w:rFonts w:cstheme="minorHAnsi"/>
        </w:rPr>
        <w:t>Solvolysis of fiber reinforced plastic composite waste</w:t>
      </w:r>
      <w:r w:rsidRPr="00B367CE">
        <w:rPr>
          <w:rFonts w:cstheme="minorHAnsi"/>
        </w:rPr>
        <w:t xml:space="preserve"> </w:t>
      </w:r>
      <w:r w:rsidR="00235E30">
        <w:rPr>
          <w:rFonts w:cstheme="minorHAnsi"/>
        </w:rPr>
        <w:t>r</w:t>
      </w:r>
      <w:r w:rsidRPr="00B367CE">
        <w:rPr>
          <w:rFonts w:cstheme="minorHAnsi"/>
        </w:rPr>
        <w:t>eport</w:t>
      </w:r>
    </w:p>
    <w:p w14:paraId="5473BEA2" w14:textId="77777777" w:rsidR="00D130EC" w:rsidRDefault="00D130EC" w:rsidP="006B7BE6">
      <w:pPr>
        <w:pStyle w:val="StandardText"/>
        <w:jc w:val="center"/>
        <w:rPr>
          <w:rFonts w:asciiTheme="minorHAnsi" w:hAnsiTheme="minorHAnsi" w:cstheme="minorHAnsi"/>
          <w:b/>
          <w:bCs/>
          <w:sz w:val="36"/>
          <w:szCs w:val="36"/>
        </w:rPr>
      </w:pPr>
    </w:p>
    <w:p w14:paraId="3AADE9CC" w14:textId="40BAAC60" w:rsidR="00C753E1" w:rsidRPr="00235E30" w:rsidRDefault="00E43FB2" w:rsidP="006B7BE6">
      <w:pPr>
        <w:pStyle w:val="StandardText"/>
        <w:jc w:val="center"/>
        <w:rPr>
          <w:rFonts w:asciiTheme="minorHAnsi" w:hAnsiTheme="minorHAnsi" w:cstheme="minorHAnsi"/>
          <w:b/>
          <w:bCs/>
          <w:sz w:val="36"/>
          <w:szCs w:val="36"/>
        </w:rPr>
      </w:pPr>
      <w:r w:rsidRPr="00235E30">
        <w:rPr>
          <w:rFonts w:asciiTheme="minorHAnsi" w:hAnsiTheme="minorHAnsi" w:cstheme="minorHAnsi"/>
          <w:b/>
          <w:bCs/>
          <w:sz w:val="36"/>
          <w:szCs w:val="36"/>
        </w:rPr>
        <w:t>Krakov 17-18.9.</w:t>
      </w:r>
    </w:p>
    <w:p w14:paraId="3BD15BC9" w14:textId="77777777" w:rsidR="00C753E1" w:rsidRPr="00B367CE" w:rsidRDefault="00C753E1">
      <w:pPr>
        <w:spacing w:before="0" w:after="160" w:line="259" w:lineRule="auto"/>
        <w:rPr>
          <w:rFonts w:asciiTheme="minorHAnsi" w:hAnsiTheme="minorHAnsi" w:cstheme="minorHAnsi"/>
          <w:color w:val="000000" w:themeColor="text1"/>
          <w:sz w:val="24"/>
          <w:szCs w:val="24"/>
          <w:lang w:val="en-US"/>
        </w:rPr>
      </w:pPr>
      <w:r w:rsidRPr="00B367CE">
        <w:rPr>
          <w:rFonts w:asciiTheme="minorHAnsi" w:hAnsiTheme="minorHAnsi" w:cstheme="minorHAnsi"/>
        </w:rPr>
        <w:br w:type="page"/>
      </w:r>
    </w:p>
    <w:sdt>
      <w:sdtPr>
        <w:rPr>
          <w:rFonts w:ascii="Calibri" w:eastAsia="Calibri" w:hAnsi="Calibri" w:cstheme="minorBidi"/>
          <w:b w:val="0"/>
          <w:color w:val="auto"/>
          <w:sz w:val="22"/>
          <w:szCs w:val="22"/>
          <w:lang w:val="en-GB"/>
        </w:rPr>
        <w:id w:val="-608498981"/>
        <w:docPartObj>
          <w:docPartGallery w:val="Table of Contents"/>
          <w:docPartUnique/>
        </w:docPartObj>
      </w:sdtPr>
      <w:sdtEndPr>
        <w:rPr>
          <w:noProof/>
        </w:rPr>
      </w:sdtEndPr>
      <w:sdtContent>
        <w:p w14:paraId="4AF8524E" w14:textId="7E49BCD6" w:rsidR="00C753E1" w:rsidRPr="00B367CE" w:rsidRDefault="00C753E1">
          <w:pPr>
            <w:pStyle w:val="Sisllysluettelonotsikko"/>
            <w:rPr>
              <w:rFonts w:cstheme="minorHAnsi"/>
            </w:rPr>
          </w:pPr>
          <w:r w:rsidRPr="00B367CE">
            <w:rPr>
              <w:rFonts w:cstheme="minorHAnsi"/>
            </w:rPr>
            <w:t>Table of Contents</w:t>
          </w:r>
        </w:p>
        <w:p w14:paraId="288B5F49" w14:textId="2B311469" w:rsidR="007F542C" w:rsidRDefault="00C753E1">
          <w:pPr>
            <w:pStyle w:val="Sisluet1"/>
            <w:tabs>
              <w:tab w:val="right" w:leader="dot" w:pos="9016"/>
            </w:tabs>
            <w:rPr>
              <w:rFonts w:cstheme="minorBidi"/>
              <w:noProof/>
              <w:kern w:val="2"/>
              <w:sz w:val="24"/>
              <w:szCs w:val="24"/>
              <w:lang w:val="fi-FI" w:eastAsia="fi-FI"/>
              <w14:ligatures w14:val="standardContextual"/>
            </w:rPr>
          </w:pPr>
          <w:r w:rsidRPr="00B367CE">
            <w:rPr>
              <w:rFonts w:cstheme="minorHAnsi"/>
            </w:rPr>
            <w:fldChar w:fldCharType="begin"/>
          </w:r>
          <w:r w:rsidRPr="00B367CE">
            <w:rPr>
              <w:rFonts w:cstheme="minorHAnsi"/>
            </w:rPr>
            <w:instrText xml:space="preserve"> TOC \o "1-3" \h \z \u </w:instrText>
          </w:r>
          <w:r w:rsidRPr="00B367CE">
            <w:rPr>
              <w:rFonts w:cstheme="minorHAnsi"/>
            </w:rPr>
            <w:fldChar w:fldCharType="separate"/>
          </w:r>
          <w:hyperlink w:anchor="_Toc213155565" w:history="1">
            <w:r w:rsidR="007F542C" w:rsidRPr="005F73D6">
              <w:rPr>
                <w:rStyle w:val="Hyperlinkki"/>
                <w:rFonts w:cstheme="minorHAnsi"/>
                <w:noProof/>
              </w:rPr>
              <w:t>CompositeCircle Internal meeting 17.9. :</w:t>
            </w:r>
            <w:r w:rsidR="007F542C" w:rsidRPr="005F73D6">
              <w:rPr>
                <w:rStyle w:val="Hyperlinkki"/>
                <w:rFonts w:eastAsia="Calibri" w:cstheme="minorHAnsi"/>
                <w:noProof/>
                <w:lang w:val="en-GB"/>
              </w:rPr>
              <w:t xml:space="preserve"> </w:t>
            </w:r>
            <w:r w:rsidR="007F542C" w:rsidRPr="005F73D6">
              <w:rPr>
                <w:rStyle w:val="Hyperlinkki"/>
                <w:rFonts w:cstheme="minorHAnsi"/>
                <w:noProof/>
                <w:lang w:val="en-GB"/>
              </w:rPr>
              <w:t>Chemical methods and practical solutions</w:t>
            </w:r>
            <w:r w:rsidR="007F542C">
              <w:rPr>
                <w:noProof/>
                <w:webHidden/>
              </w:rPr>
              <w:tab/>
            </w:r>
            <w:r w:rsidR="007F542C">
              <w:rPr>
                <w:noProof/>
                <w:webHidden/>
              </w:rPr>
              <w:fldChar w:fldCharType="begin"/>
            </w:r>
            <w:r w:rsidR="007F542C">
              <w:rPr>
                <w:noProof/>
                <w:webHidden/>
              </w:rPr>
              <w:instrText xml:space="preserve"> PAGEREF _Toc213155565 \h </w:instrText>
            </w:r>
            <w:r w:rsidR="007F542C">
              <w:rPr>
                <w:noProof/>
                <w:webHidden/>
              </w:rPr>
            </w:r>
            <w:r w:rsidR="007F542C">
              <w:rPr>
                <w:noProof/>
                <w:webHidden/>
              </w:rPr>
              <w:fldChar w:fldCharType="separate"/>
            </w:r>
            <w:r w:rsidR="007F542C">
              <w:rPr>
                <w:noProof/>
                <w:webHidden/>
              </w:rPr>
              <w:t>3</w:t>
            </w:r>
            <w:r w:rsidR="007F542C">
              <w:rPr>
                <w:noProof/>
                <w:webHidden/>
              </w:rPr>
              <w:fldChar w:fldCharType="end"/>
            </w:r>
          </w:hyperlink>
        </w:p>
        <w:p w14:paraId="05D348DE" w14:textId="42C8F830" w:rsidR="007F542C" w:rsidRDefault="007F542C">
          <w:pPr>
            <w:pStyle w:val="Sisluet1"/>
            <w:tabs>
              <w:tab w:val="right" w:leader="dot" w:pos="9016"/>
            </w:tabs>
            <w:rPr>
              <w:rFonts w:cstheme="minorBidi"/>
              <w:noProof/>
              <w:kern w:val="2"/>
              <w:sz w:val="24"/>
              <w:szCs w:val="24"/>
              <w:lang w:val="fi-FI" w:eastAsia="fi-FI"/>
              <w14:ligatures w14:val="standardContextual"/>
            </w:rPr>
          </w:pPr>
          <w:hyperlink w:anchor="_Toc213155566" w:history="1">
            <w:r w:rsidRPr="005F73D6">
              <w:rPr>
                <w:rStyle w:val="Hyperlinkki"/>
                <w:rFonts w:cstheme="minorHAnsi"/>
                <w:noProof/>
              </w:rPr>
              <w:t>Workshop 3: Solvolysis of fiber reinforced plastic composite waste</w:t>
            </w:r>
            <w:r>
              <w:rPr>
                <w:noProof/>
                <w:webHidden/>
              </w:rPr>
              <w:tab/>
            </w:r>
            <w:r>
              <w:rPr>
                <w:noProof/>
                <w:webHidden/>
              </w:rPr>
              <w:fldChar w:fldCharType="begin"/>
            </w:r>
            <w:r>
              <w:rPr>
                <w:noProof/>
                <w:webHidden/>
              </w:rPr>
              <w:instrText xml:space="preserve"> PAGEREF _Toc213155566 \h </w:instrText>
            </w:r>
            <w:r>
              <w:rPr>
                <w:noProof/>
                <w:webHidden/>
              </w:rPr>
            </w:r>
            <w:r>
              <w:rPr>
                <w:noProof/>
                <w:webHidden/>
              </w:rPr>
              <w:fldChar w:fldCharType="separate"/>
            </w:r>
            <w:r>
              <w:rPr>
                <w:noProof/>
                <w:webHidden/>
              </w:rPr>
              <w:t>5</w:t>
            </w:r>
            <w:r>
              <w:rPr>
                <w:noProof/>
                <w:webHidden/>
              </w:rPr>
              <w:fldChar w:fldCharType="end"/>
            </w:r>
          </w:hyperlink>
        </w:p>
        <w:p w14:paraId="337A5633" w14:textId="159F1BDB" w:rsidR="00C753E1" w:rsidRPr="00B367CE" w:rsidRDefault="00C753E1">
          <w:pPr>
            <w:rPr>
              <w:rFonts w:asciiTheme="minorHAnsi" w:hAnsiTheme="minorHAnsi" w:cstheme="minorHAnsi"/>
            </w:rPr>
          </w:pPr>
          <w:r w:rsidRPr="00B367CE">
            <w:rPr>
              <w:rFonts w:asciiTheme="minorHAnsi" w:hAnsiTheme="minorHAnsi" w:cstheme="minorHAnsi"/>
              <w:b/>
              <w:bCs/>
              <w:noProof/>
            </w:rPr>
            <w:fldChar w:fldCharType="end"/>
          </w:r>
        </w:p>
      </w:sdtContent>
    </w:sdt>
    <w:p w14:paraId="15161465" w14:textId="77777777" w:rsidR="000D67F8" w:rsidRPr="00B367CE" w:rsidRDefault="000D67F8">
      <w:pPr>
        <w:spacing w:before="0" w:after="160" w:line="259" w:lineRule="auto"/>
        <w:rPr>
          <w:rFonts w:asciiTheme="minorHAnsi" w:eastAsiaTheme="majorEastAsia" w:hAnsiTheme="minorHAnsi" w:cstheme="minorHAnsi"/>
          <w:b/>
          <w:color w:val="5C8064"/>
          <w:spacing w:val="-10"/>
          <w:kern w:val="28"/>
          <w:sz w:val="72"/>
          <w:szCs w:val="56"/>
        </w:rPr>
      </w:pPr>
      <w:r w:rsidRPr="00B367CE">
        <w:rPr>
          <w:rFonts w:asciiTheme="minorHAnsi" w:hAnsiTheme="minorHAnsi" w:cstheme="minorHAnsi"/>
        </w:rPr>
        <w:br w:type="page"/>
      </w:r>
    </w:p>
    <w:p w14:paraId="48674E1B" w14:textId="68D1C6C8" w:rsidR="00116FCC" w:rsidRPr="00B367CE" w:rsidRDefault="00FB7143" w:rsidP="00116FCC">
      <w:pPr>
        <w:pStyle w:val="Otsikko1"/>
        <w:rPr>
          <w:rFonts w:cstheme="minorHAnsi"/>
        </w:rPr>
      </w:pPr>
      <w:bookmarkStart w:id="0" w:name="_Toc213155565"/>
      <w:r w:rsidRPr="00B367CE">
        <w:rPr>
          <w:rFonts w:cstheme="minorHAnsi"/>
        </w:rPr>
        <w:lastRenderedPageBreak/>
        <w:t>CompositeCircle</w:t>
      </w:r>
      <w:r w:rsidR="00BD0CAE" w:rsidRPr="00B367CE">
        <w:rPr>
          <w:rFonts w:cstheme="minorHAnsi"/>
        </w:rPr>
        <w:t xml:space="preserve"> I</w:t>
      </w:r>
      <w:r w:rsidR="00E43FB2" w:rsidRPr="00B367CE">
        <w:rPr>
          <w:rFonts w:cstheme="minorHAnsi"/>
        </w:rPr>
        <w:t>nternal meeting</w:t>
      </w:r>
      <w:r w:rsidR="00BD0CAE" w:rsidRPr="00B367CE">
        <w:rPr>
          <w:rFonts w:cstheme="minorHAnsi"/>
        </w:rPr>
        <w:t xml:space="preserve"> 17.9.</w:t>
      </w:r>
      <w:r w:rsidRPr="00B367CE">
        <w:rPr>
          <w:rFonts w:cstheme="minorHAnsi"/>
        </w:rPr>
        <w:t>:</w:t>
      </w:r>
      <w:r w:rsidR="00A2716E">
        <w:rPr>
          <w:rFonts w:cstheme="minorHAnsi"/>
        </w:rPr>
        <w:br/>
      </w:r>
      <w:r w:rsidR="00BD0CAE" w:rsidRPr="00B367CE">
        <w:rPr>
          <w:rFonts w:cstheme="minorHAnsi"/>
          <w:lang w:val="en-GB"/>
        </w:rPr>
        <w:t>Chemical methods and practical solutions</w:t>
      </w:r>
      <w:bookmarkEnd w:id="0"/>
    </w:p>
    <w:p w14:paraId="288B9263" w14:textId="2BBB319B" w:rsidR="00FD5B45" w:rsidRPr="00B367CE" w:rsidRDefault="00FD5B45" w:rsidP="004B5828">
      <w:pPr>
        <w:spacing w:before="0" w:after="160" w:line="259"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The third workshop of the CompositeCircle project was held in Krakow, Poland, on </w:t>
      </w:r>
      <w:r w:rsidR="7BEC27BD" w:rsidRPr="00B367CE">
        <w:rPr>
          <w:rFonts w:asciiTheme="minorHAnsi" w:hAnsiTheme="minorHAnsi" w:cstheme="minorHAnsi"/>
          <w:sz w:val="24"/>
          <w:szCs w:val="24"/>
          <w:lang w:val="en-US"/>
        </w:rPr>
        <w:t xml:space="preserve">September </w:t>
      </w:r>
      <w:r w:rsidRPr="00B367CE">
        <w:rPr>
          <w:rFonts w:asciiTheme="minorHAnsi" w:hAnsiTheme="minorHAnsi" w:cstheme="minorHAnsi"/>
          <w:sz w:val="24"/>
          <w:szCs w:val="24"/>
          <w:lang w:val="en-US"/>
        </w:rPr>
        <w:t>17–18</w:t>
      </w:r>
      <w:r w:rsidR="373A3BB3" w:rsidRPr="00B367CE">
        <w:rPr>
          <w:rFonts w:asciiTheme="minorHAnsi" w:hAnsiTheme="minorHAnsi" w:cstheme="minorHAnsi"/>
          <w:sz w:val="24"/>
          <w:szCs w:val="24"/>
          <w:lang w:val="en-US"/>
        </w:rPr>
        <w:t>th</w:t>
      </w:r>
      <w:r w:rsidRPr="00B367CE">
        <w:rPr>
          <w:rFonts w:asciiTheme="minorHAnsi" w:hAnsiTheme="minorHAnsi" w:cstheme="minorHAnsi"/>
          <w:sz w:val="24"/>
          <w:szCs w:val="24"/>
          <w:lang w:val="en-US"/>
        </w:rPr>
        <w:t>. On the first day, an internal project meeting was held, where the project’s progress and various challenges were reviewed in more detail. On the following day, the workshop presented a wide range of industrial solutions for composite recycling. Partners, associated partners, and external speakers were invited to both days.</w:t>
      </w:r>
      <w:r w:rsidR="004C33D7" w:rsidRPr="00B367CE">
        <w:rPr>
          <w:rFonts w:asciiTheme="minorHAnsi" w:hAnsiTheme="minorHAnsi" w:cstheme="minorHAnsi"/>
          <w:sz w:val="24"/>
          <w:szCs w:val="24"/>
          <w:lang w:val="en-US"/>
        </w:rPr>
        <w:t xml:space="preserve"> </w:t>
      </w:r>
      <w:r w:rsidRPr="00B367CE">
        <w:rPr>
          <w:rFonts w:asciiTheme="minorHAnsi" w:hAnsiTheme="minorHAnsi" w:cstheme="minorHAnsi"/>
          <w:sz w:val="24"/>
          <w:szCs w:val="24"/>
          <w:lang w:val="en-US"/>
        </w:rPr>
        <w:t>The goal of the internal meeting was to discuss activity progress, challenges, and how to compile the overall work into a guideline/manual, including what is needed for its implementation. The discussion also focused on how to proceed with products and find practical solutions.</w:t>
      </w:r>
    </w:p>
    <w:p w14:paraId="0D7BA1E8" w14:textId="4D379543" w:rsidR="00FD5B45" w:rsidRPr="00B367CE" w:rsidRDefault="00BD0CAE" w:rsidP="004B5828">
      <w:pPr>
        <w:spacing w:before="0" w:after="160" w:line="259" w:lineRule="auto"/>
        <w:jc w:val="both"/>
        <w:rPr>
          <w:rFonts w:asciiTheme="minorHAnsi" w:hAnsiTheme="minorHAnsi" w:cstheme="minorHAnsi"/>
          <w:sz w:val="24"/>
          <w:szCs w:val="24"/>
          <w:lang w:val="en-US"/>
        </w:rPr>
      </w:pPr>
      <w:r w:rsidRPr="00B367CE">
        <w:rPr>
          <w:rFonts w:asciiTheme="minorHAnsi" w:hAnsiTheme="minorHAnsi" w:cstheme="minorHAnsi"/>
          <w:noProof/>
          <w:sz w:val="24"/>
          <w:szCs w:val="24"/>
          <w:lang w:val="en-US" w:eastAsia="zh-CN"/>
        </w:rPr>
        <w:drawing>
          <wp:anchor distT="0" distB="0" distL="114300" distR="114300" simplePos="0" relativeHeight="251658240" behindDoc="1" locked="0" layoutInCell="1" allowOverlap="1" wp14:anchorId="2006E659" wp14:editId="304E7510">
            <wp:simplePos x="0" y="0"/>
            <wp:positionH relativeFrom="margin">
              <wp:align>center</wp:align>
            </wp:positionH>
            <wp:positionV relativeFrom="paragraph">
              <wp:posOffset>1488077</wp:posOffset>
            </wp:positionV>
            <wp:extent cx="5084445" cy="3207385"/>
            <wp:effectExtent l="0" t="0" r="1905" b="0"/>
            <wp:wrapTight wrapText="bothSides">
              <wp:wrapPolygon edited="0">
                <wp:start x="0" y="0"/>
                <wp:lineTo x="0" y="21425"/>
                <wp:lineTo x="21527" y="21425"/>
                <wp:lineTo x="21527" y="0"/>
                <wp:lineTo x="0" y="0"/>
              </wp:wrapPolygon>
            </wp:wrapTight>
            <wp:docPr id="1182060971" name="Picture 1" descr="A group of people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0971" name="Picture 1" descr="A group of people standing in front of a projector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4445" cy="3207385"/>
                    </a:xfrm>
                    <a:prstGeom prst="rect">
                      <a:avLst/>
                    </a:prstGeom>
                  </pic:spPr>
                </pic:pic>
              </a:graphicData>
            </a:graphic>
            <wp14:sizeRelH relativeFrom="margin">
              <wp14:pctWidth>0</wp14:pctWidth>
            </wp14:sizeRelH>
            <wp14:sizeRelV relativeFrom="margin">
              <wp14:pctHeight>0</wp14:pctHeight>
            </wp14:sizeRelV>
          </wp:anchor>
        </w:drawing>
      </w:r>
      <w:r w:rsidR="00FD5B45" w:rsidRPr="00B367CE">
        <w:rPr>
          <w:rFonts w:asciiTheme="minorHAnsi" w:hAnsiTheme="minorHAnsi" w:cstheme="minorHAnsi"/>
          <w:sz w:val="24"/>
          <w:szCs w:val="24"/>
          <w:lang w:val="en-US"/>
        </w:rPr>
        <w:t xml:space="preserve">The internal meeting started with </w:t>
      </w:r>
      <w:r w:rsidR="00FD5B45" w:rsidRPr="00B367CE">
        <w:rPr>
          <w:rFonts w:asciiTheme="minorHAnsi" w:hAnsiTheme="minorHAnsi" w:cstheme="minorHAnsi"/>
          <w:b/>
          <w:bCs/>
          <w:sz w:val="24"/>
          <w:szCs w:val="24"/>
          <w:lang w:val="en-US"/>
        </w:rPr>
        <w:t>Activity 1.2</w:t>
      </w:r>
      <w:r w:rsidR="00FD5B45" w:rsidRPr="00B367CE">
        <w:rPr>
          <w:rFonts w:asciiTheme="minorHAnsi" w:hAnsiTheme="minorHAnsi" w:cstheme="minorHAnsi"/>
          <w:sz w:val="24"/>
          <w:szCs w:val="24"/>
          <w:lang w:val="en-US"/>
        </w:rPr>
        <w:t>, which highlighted challenges related to the transport, storage, and handling of end-of-life wind turbine blades, as well as partners’ active work in gathering data. The Excel questions on the separation and management of composite waste were reviewed, though some information (e.g., burning composites for heat) is difficult to obtain. Legal aspects were discussed, including turbine recyclability, the need for offshore technology, differences in waste management between countries, and how varying legislation can be combined into a common guide.</w:t>
      </w:r>
    </w:p>
    <w:p w14:paraId="0699B1D8" w14:textId="4D5D83DC" w:rsidR="00BD0CAE" w:rsidRPr="00B367CE" w:rsidRDefault="00BD0CAE" w:rsidP="004B5828">
      <w:pPr>
        <w:spacing w:before="0" w:after="160" w:line="259" w:lineRule="auto"/>
        <w:jc w:val="both"/>
        <w:rPr>
          <w:rFonts w:asciiTheme="minorHAnsi" w:hAnsiTheme="minorHAnsi" w:cstheme="minorHAnsi"/>
          <w:b/>
          <w:bCs/>
          <w:sz w:val="24"/>
          <w:szCs w:val="24"/>
          <w:lang w:val="en-US"/>
        </w:rPr>
      </w:pPr>
      <w:r w:rsidRPr="00B367CE">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179879D9" wp14:editId="696AEFF5">
                <wp:simplePos x="0" y="0"/>
                <wp:positionH relativeFrom="margin">
                  <wp:align>center</wp:align>
                </wp:positionH>
                <wp:positionV relativeFrom="paragraph">
                  <wp:posOffset>3365500</wp:posOffset>
                </wp:positionV>
                <wp:extent cx="4544695" cy="635"/>
                <wp:effectExtent l="0" t="0" r="8255" b="3810"/>
                <wp:wrapTight wrapText="bothSides">
                  <wp:wrapPolygon edited="0">
                    <wp:start x="0" y="0"/>
                    <wp:lineTo x="0" y="20432"/>
                    <wp:lineTo x="21549" y="20432"/>
                    <wp:lineTo x="21549" y="0"/>
                    <wp:lineTo x="0" y="0"/>
                  </wp:wrapPolygon>
                </wp:wrapTight>
                <wp:docPr id="1052380241" name="Text Box 1"/>
                <wp:cNvGraphicFramePr/>
                <a:graphic xmlns:a="http://schemas.openxmlformats.org/drawingml/2006/main">
                  <a:graphicData uri="http://schemas.microsoft.com/office/word/2010/wordprocessingShape">
                    <wps:wsp>
                      <wps:cNvSpPr txBox="1"/>
                      <wps:spPr>
                        <a:xfrm>
                          <a:off x="0" y="0"/>
                          <a:ext cx="4544695" cy="635"/>
                        </a:xfrm>
                        <a:prstGeom prst="rect">
                          <a:avLst/>
                        </a:prstGeom>
                        <a:solidFill>
                          <a:prstClr val="white"/>
                        </a:solidFill>
                        <a:ln>
                          <a:noFill/>
                        </a:ln>
                      </wps:spPr>
                      <wps:txbx>
                        <w:txbxContent>
                          <w:p w14:paraId="21943261" w14:textId="07D5D277" w:rsidR="00BD0CAE" w:rsidRPr="001F7C3E" w:rsidRDefault="00BD0CAE" w:rsidP="00BD0CAE">
                            <w:pPr>
                              <w:pStyle w:val="Kuvaotsikko"/>
                              <w:jc w:val="center"/>
                              <w:rPr>
                                <w:noProof/>
                                <w:lang w:val="en-US" w:eastAsia="zh-CN"/>
                              </w:rPr>
                            </w:pPr>
                            <w:r>
                              <w:t xml:space="preserve">Figure </w:t>
                            </w:r>
                            <w:r>
                              <w:fldChar w:fldCharType="begin"/>
                            </w:r>
                            <w:r>
                              <w:instrText xml:space="preserve"> SEQ Figure \* ARABIC </w:instrText>
                            </w:r>
                            <w:r>
                              <w:fldChar w:fldCharType="separate"/>
                            </w:r>
                            <w:r w:rsidR="00261558">
                              <w:rPr>
                                <w:noProof/>
                              </w:rPr>
                              <w:t>1</w:t>
                            </w:r>
                            <w:r>
                              <w:fldChar w:fldCharType="end"/>
                            </w:r>
                            <w:r>
                              <w:t>.</w:t>
                            </w:r>
                            <w:r w:rsidR="00FC66A5">
                              <w:t xml:space="preserve"> </w:t>
                            </w:r>
                            <w:r w:rsidRPr="00930B24">
                              <w:t>A group photo of the project team showcasing the project’s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9879D9" id="_x0000_t202" coordsize="21600,21600" o:spt="202" path="m,l,21600r21600,l21600,xe">
                <v:stroke joinstyle="miter"/>
                <v:path gradientshapeok="t" o:connecttype="rect"/>
              </v:shapetype>
              <v:shape id="Text Box 1" o:spid="_x0000_s1026" type="#_x0000_t202" style="position:absolute;left:0;text-align:left;margin-left:0;margin-top:265pt;width:357.85pt;height:.0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" stroked="f">
                <v:textbox style="mso-fit-shape-to-text:t" inset="0,0,0,0">
                  <w:txbxContent>
                    <w:p w14:paraId="21943261" w14:textId="07D5D277" w:rsidR="00BD0CAE" w:rsidRPr="001F7C3E" w:rsidRDefault="00BD0CAE" w:rsidP="00BD0CAE">
                      <w:pPr>
                        <w:pStyle w:val="Kuvaotsikko"/>
                        <w:jc w:val="center"/>
                        <w:rPr>
                          <w:noProof/>
                          <w:lang w:val="en-US" w:eastAsia="zh-CN"/>
                        </w:rPr>
                      </w:pPr>
                      <w:r>
                        <w:t xml:space="preserve">Figure </w:t>
                      </w:r>
                      <w:r>
                        <w:fldChar w:fldCharType="begin"/>
                      </w:r>
                      <w:r>
                        <w:instrText xml:space="preserve"> SEQ Figure \* ARABIC </w:instrText>
                      </w:r>
                      <w:r>
                        <w:fldChar w:fldCharType="separate"/>
                      </w:r>
                      <w:r w:rsidR="00261558">
                        <w:rPr>
                          <w:noProof/>
                        </w:rPr>
                        <w:t>1</w:t>
                      </w:r>
                      <w:r>
                        <w:fldChar w:fldCharType="end"/>
                      </w:r>
                      <w:r>
                        <w:t>.</w:t>
                      </w:r>
                      <w:r w:rsidR="00FC66A5">
                        <w:t xml:space="preserve"> </w:t>
                      </w:r>
                      <w:r w:rsidRPr="00930B24">
                        <w:t>A group photo of the project team showcasing the project’s progress.</w:t>
                      </w:r>
                    </w:p>
                  </w:txbxContent>
                </v:textbox>
                <w10:wrap type="tight" anchorx="margin"/>
              </v:shape>
            </w:pict>
          </mc:Fallback>
        </mc:AlternateContent>
      </w:r>
    </w:p>
    <w:p w14:paraId="62AB41D9" w14:textId="77777777" w:rsidR="00BD0CAE" w:rsidRPr="00B367CE" w:rsidRDefault="00BD0CAE" w:rsidP="004B5828">
      <w:pPr>
        <w:spacing w:before="0" w:after="160" w:line="259" w:lineRule="auto"/>
        <w:jc w:val="both"/>
        <w:rPr>
          <w:rFonts w:asciiTheme="minorHAnsi" w:hAnsiTheme="minorHAnsi" w:cstheme="minorHAnsi"/>
          <w:b/>
          <w:bCs/>
          <w:sz w:val="24"/>
          <w:szCs w:val="24"/>
          <w:lang w:val="en-US"/>
        </w:rPr>
      </w:pPr>
    </w:p>
    <w:p w14:paraId="5AFEEEC3" w14:textId="5F0A131F" w:rsidR="00FD5B45" w:rsidRPr="00B367CE" w:rsidRDefault="00FD5B45" w:rsidP="004B5828">
      <w:pPr>
        <w:spacing w:before="0" w:after="160" w:line="259" w:lineRule="auto"/>
        <w:jc w:val="both"/>
        <w:rPr>
          <w:rFonts w:asciiTheme="minorHAnsi" w:hAnsiTheme="minorHAnsi" w:cstheme="minorHAnsi"/>
          <w:sz w:val="24"/>
          <w:szCs w:val="24"/>
          <w:lang w:val="en-US"/>
        </w:rPr>
      </w:pPr>
      <w:r w:rsidRPr="00B367CE">
        <w:rPr>
          <w:rFonts w:asciiTheme="minorHAnsi" w:hAnsiTheme="minorHAnsi" w:cstheme="minorHAnsi"/>
          <w:b/>
          <w:bCs/>
          <w:sz w:val="24"/>
          <w:szCs w:val="24"/>
          <w:lang w:val="en-US"/>
        </w:rPr>
        <w:t>Activity 1.3:</w:t>
      </w:r>
      <w:r w:rsidRPr="00B367CE">
        <w:rPr>
          <w:rFonts w:asciiTheme="minorHAnsi" w:hAnsiTheme="minorHAnsi" w:cstheme="minorHAnsi"/>
          <w:sz w:val="24"/>
          <w:szCs w:val="24"/>
          <w:lang w:val="en-US"/>
        </w:rPr>
        <w:t xml:space="preserve"> The update covered co-processing and solvolysis progress. Kuusakoski composite waste will be sent to Akmenes Cementas Ltd and Schwenk Latvija, with RTU analysing the samples. Synchronisation with A1.2 activities was discussed. Lab work on solvolysis was </w:t>
      </w:r>
      <w:r w:rsidRPr="00B367CE">
        <w:rPr>
          <w:rFonts w:asciiTheme="minorHAnsi" w:hAnsiTheme="minorHAnsi" w:cstheme="minorHAnsi"/>
          <w:sz w:val="24"/>
          <w:szCs w:val="24"/>
          <w:lang w:val="en-US"/>
        </w:rPr>
        <w:lastRenderedPageBreak/>
        <w:t>presented, including methods, next steps, and curing of epoxy castings. Recovered materials (resin, fibers, solvent) and their potential uses were highlighted, along with challenges, limitations, and commercial solutions. Industries that could adopt mild solvolysis were outlined, as well as integration options such as on-site recycling, regional hubs, and partnerships.</w:t>
      </w:r>
    </w:p>
    <w:p w14:paraId="40C2F150" w14:textId="7315C14C" w:rsidR="004C33D7" w:rsidRPr="00B367CE" w:rsidRDefault="00FD5B45" w:rsidP="004B5828">
      <w:pPr>
        <w:spacing w:before="0" w:after="160" w:line="259" w:lineRule="auto"/>
        <w:jc w:val="both"/>
        <w:rPr>
          <w:rFonts w:asciiTheme="minorHAnsi" w:hAnsiTheme="minorHAnsi" w:cstheme="minorHAnsi"/>
          <w:sz w:val="24"/>
          <w:szCs w:val="24"/>
          <w:lang w:val="en-US"/>
        </w:rPr>
      </w:pPr>
      <w:r w:rsidRPr="00B367CE">
        <w:rPr>
          <w:rFonts w:asciiTheme="minorHAnsi" w:hAnsiTheme="minorHAnsi" w:cstheme="minorHAnsi"/>
          <w:b/>
          <w:bCs/>
          <w:sz w:val="24"/>
          <w:szCs w:val="24"/>
          <w:lang w:val="en-US"/>
        </w:rPr>
        <w:t>Activity 1.4:</w:t>
      </w:r>
      <w:r w:rsidRPr="00B367CE">
        <w:rPr>
          <w:rFonts w:asciiTheme="minorHAnsi" w:hAnsiTheme="minorHAnsi" w:cstheme="minorHAnsi"/>
          <w:sz w:val="24"/>
          <w:szCs w:val="24"/>
          <w:lang w:val="en-US"/>
        </w:rPr>
        <w:t xml:space="preserve"> The status of the activity and next steps were presented. A cost analysis model has been drafted. Potential industries in the value chain have been identified in each country for future interviews and analysis.</w:t>
      </w:r>
      <w:r w:rsidR="004C33D7" w:rsidRPr="00B367CE">
        <w:rPr>
          <w:rFonts w:asciiTheme="minorHAnsi" w:hAnsiTheme="minorHAnsi" w:cstheme="minorHAnsi"/>
          <w:sz w:val="24"/>
          <w:szCs w:val="24"/>
          <w:lang w:val="en-US"/>
        </w:rPr>
        <w:t xml:space="preserve"> </w:t>
      </w:r>
      <w:r w:rsidRPr="00B367CE">
        <w:rPr>
          <w:rFonts w:asciiTheme="minorHAnsi" w:hAnsiTheme="minorHAnsi" w:cstheme="minorHAnsi"/>
          <w:b/>
          <w:bCs/>
          <w:sz w:val="24"/>
          <w:szCs w:val="24"/>
          <w:lang w:val="en-US"/>
        </w:rPr>
        <w:t>Activity 1.5:</w:t>
      </w:r>
      <w:r w:rsidRPr="00B367CE">
        <w:rPr>
          <w:rFonts w:asciiTheme="minorHAnsi" w:hAnsiTheme="minorHAnsi" w:cstheme="minorHAnsi"/>
          <w:sz w:val="24"/>
          <w:szCs w:val="24"/>
          <w:lang w:val="en-US"/>
        </w:rPr>
        <w:t xml:space="preserve"> A draft structure for value chain documentation was presented. A discussion was held on roles and responsibilities within the activity. There was also discussion on having a uniform template for deliverables.</w:t>
      </w:r>
    </w:p>
    <w:p w14:paraId="1E99610A" w14:textId="255FEEAB" w:rsidR="00FD5B45" w:rsidRPr="00B367CE" w:rsidRDefault="00FD5B45" w:rsidP="004B5828">
      <w:pPr>
        <w:spacing w:before="0" w:after="160" w:line="259"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The project’s communication details were presented. GDPR was discussed, including what is subject to it. Project communication was explained, highlighting its importance. A storytelling structure as a form of communication was presented and its use in EU projects was explained: storytelling humanizes research, engages diverse audiences, boosts dissemination, and supports impact. In small groups, storytelling exercises were conducted for the CompositeCircle project to practice the method.</w:t>
      </w:r>
    </w:p>
    <w:p w14:paraId="6732D84E"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622F6A20" w14:textId="3F5FCF1D" w:rsidR="00FB7143" w:rsidRPr="00B367CE" w:rsidRDefault="00FB7143" w:rsidP="004B5828">
      <w:pPr>
        <w:spacing w:before="0" w:after="160" w:line="259" w:lineRule="auto"/>
        <w:jc w:val="both"/>
        <w:rPr>
          <w:rFonts w:asciiTheme="minorHAnsi" w:hAnsiTheme="minorHAnsi" w:cstheme="minorHAnsi"/>
          <w:sz w:val="24"/>
          <w:szCs w:val="24"/>
          <w:lang w:val="en-US"/>
        </w:rPr>
      </w:pPr>
    </w:p>
    <w:p w14:paraId="3EC0E38C"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0651BF6F" w14:textId="73A5FE68" w:rsidR="00FB7143" w:rsidRPr="00B367CE" w:rsidRDefault="00FB7143" w:rsidP="004B5828">
      <w:pPr>
        <w:spacing w:before="0" w:after="160" w:line="259" w:lineRule="auto"/>
        <w:jc w:val="both"/>
        <w:rPr>
          <w:rFonts w:asciiTheme="minorHAnsi" w:hAnsiTheme="minorHAnsi" w:cstheme="minorHAnsi"/>
          <w:sz w:val="24"/>
          <w:szCs w:val="24"/>
          <w:lang w:val="en-US"/>
        </w:rPr>
      </w:pPr>
    </w:p>
    <w:p w14:paraId="232FE4CA" w14:textId="2D33474F" w:rsidR="00FB7143" w:rsidRPr="00B367CE" w:rsidRDefault="00FB7143" w:rsidP="004B5828">
      <w:pPr>
        <w:spacing w:before="0" w:after="160" w:line="259" w:lineRule="auto"/>
        <w:jc w:val="both"/>
        <w:rPr>
          <w:rFonts w:asciiTheme="minorHAnsi" w:hAnsiTheme="minorHAnsi" w:cstheme="minorHAnsi"/>
          <w:sz w:val="24"/>
          <w:szCs w:val="24"/>
          <w:lang w:val="en-US"/>
        </w:rPr>
      </w:pPr>
    </w:p>
    <w:p w14:paraId="76001DA1"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25A0E445"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5EB8C3BD"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5A6B6E3F"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251FCAF7" w14:textId="77777777" w:rsidR="00FB7143" w:rsidRPr="00B367CE" w:rsidRDefault="00FB7143" w:rsidP="004B5828">
      <w:pPr>
        <w:spacing w:before="0" w:after="160" w:line="259" w:lineRule="auto"/>
        <w:jc w:val="both"/>
        <w:rPr>
          <w:rFonts w:asciiTheme="minorHAnsi" w:hAnsiTheme="minorHAnsi" w:cstheme="minorHAnsi"/>
          <w:sz w:val="24"/>
          <w:szCs w:val="24"/>
          <w:lang w:val="en-US"/>
        </w:rPr>
      </w:pPr>
    </w:p>
    <w:p w14:paraId="327F8B41" w14:textId="36E2B69A" w:rsidR="00FB7143" w:rsidRPr="00B367CE" w:rsidRDefault="00FB7143" w:rsidP="004B5828">
      <w:pPr>
        <w:spacing w:before="0" w:after="160" w:line="259" w:lineRule="auto"/>
        <w:jc w:val="both"/>
        <w:rPr>
          <w:rFonts w:asciiTheme="minorHAnsi" w:hAnsiTheme="minorHAnsi" w:cstheme="minorHAnsi"/>
          <w:sz w:val="24"/>
          <w:szCs w:val="24"/>
          <w:lang w:val="en-US"/>
        </w:rPr>
      </w:pPr>
    </w:p>
    <w:p w14:paraId="4E66D581" w14:textId="4D6E6FE2" w:rsidR="00FB7143" w:rsidRPr="00B367CE" w:rsidRDefault="00FB7143" w:rsidP="004B5828">
      <w:pPr>
        <w:spacing w:before="0" w:after="160" w:line="259" w:lineRule="auto"/>
        <w:jc w:val="both"/>
        <w:rPr>
          <w:rFonts w:asciiTheme="minorHAnsi" w:hAnsiTheme="minorHAnsi" w:cstheme="minorHAnsi"/>
          <w:sz w:val="24"/>
          <w:szCs w:val="24"/>
          <w:lang w:val="en-US"/>
        </w:rPr>
      </w:pPr>
    </w:p>
    <w:p w14:paraId="2553D3E7" w14:textId="1CC22CAB" w:rsidR="00FB7143" w:rsidRPr="00B367CE" w:rsidRDefault="00FB7143" w:rsidP="004B5828">
      <w:pPr>
        <w:spacing w:before="0" w:after="160" w:line="259" w:lineRule="auto"/>
        <w:jc w:val="both"/>
        <w:rPr>
          <w:rFonts w:asciiTheme="minorHAnsi" w:hAnsiTheme="minorHAnsi" w:cstheme="minorHAnsi"/>
          <w:sz w:val="24"/>
          <w:szCs w:val="24"/>
          <w:lang w:val="en-US"/>
        </w:rPr>
      </w:pPr>
    </w:p>
    <w:p w14:paraId="6128E34F" w14:textId="670A989B" w:rsidR="00C84427" w:rsidRPr="00B367CE" w:rsidRDefault="000922BB" w:rsidP="00FB7143">
      <w:pPr>
        <w:spacing w:before="0" w:after="160" w:line="259" w:lineRule="auto"/>
        <w:rPr>
          <w:rFonts w:asciiTheme="minorHAnsi" w:hAnsiTheme="minorHAnsi" w:cstheme="minorHAnsi"/>
          <w:sz w:val="24"/>
          <w:szCs w:val="24"/>
          <w:lang w:val="en-US" w:eastAsia="zh-CN"/>
        </w:rPr>
      </w:pPr>
      <w:r w:rsidRPr="00B367CE">
        <w:rPr>
          <w:rFonts w:asciiTheme="minorHAnsi" w:hAnsiTheme="minorHAnsi" w:cstheme="minorHAnsi"/>
          <w:sz w:val="24"/>
          <w:szCs w:val="24"/>
          <w:lang w:val="en-US" w:eastAsia="zh-CN"/>
        </w:rPr>
        <w:br w:type="page"/>
      </w:r>
    </w:p>
    <w:p w14:paraId="05025E0A" w14:textId="66BB5951" w:rsidR="00116FCC" w:rsidRPr="00B367CE" w:rsidRDefault="00E43FB2" w:rsidP="00C84427">
      <w:pPr>
        <w:pStyle w:val="Otsikko1"/>
        <w:jc w:val="center"/>
        <w:rPr>
          <w:rFonts w:cstheme="minorHAnsi"/>
          <w:lang w:val="en-US"/>
        </w:rPr>
      </w:pPr>
      <w:bookmarkStart w:id="1" w:name="_Toc213155566"/>
      <w:r w:rsidRPr="00B367CE">
        <w:rPr>
          <w:rFonts w:cstheme="minorHAnsi"/>
          <w:lang w:val="en-US"/>
        </w:rPr>
        <w:lastRenderedPageBreak/>
        <w:t>Workshop</w:t>
      </w:r>
      <w:r w:rsidR="002A22FE" w:rsidRPr="00B367CE">
        <w:rPr>
          <w:rFonts w:cstheme="minorHAnsi"/>
          <w:lang w:val="en-US"/>
        </w:rPr>
        <w:t xml:space="preserve"> 3: Solvolysis of fi</w:t>
      </w:r>
      <w:r w:rsidR="00FB7143" w:rsidRPr="00B367CE">
        <w:rPr>
          <w:rFonts w:cstheme="minorHAnsi"/>
          <w:lang w:val="en-US"/>
        </w:rPr>
        <w:t>ber</w:t>
      </w:r>
      <w:r w:rsidR="002A22FE" w:rsidRPr="00B367CE">
        <w:rPr>
          <w:rFonts w:cstheme="minorHAnsi"/>
          <w:lang w:val="en-US"/>
        </w:rPr>
        <w:t xml:space="preserve"> reinforce</w:t>
      </w:r>
      <w:r w:rsidR="00FB7143" w:rsidRPr="00B367CE">
        <w:rPr>
          <w:rFonts w:cstheme="minorHAnsi"/>
          <w:lang w:val="en-US"/>
        </w:rPr>
        <w:t xml:space="preserve">d </w:t>
      </w:r>
      <w:r w:rsidR="00A2716E">
        <w:rPr>
          <w:rFonts w:cstheme="minorHAnsi"/>
          <w:lang w:val="en-US"/>
        </w:rPr>
        <w:br/>
      </w:r>
      <w:r w:rsidR="00FB7143" w:rsidRPr="00B367CE">
        <w:rPr>
          <w:rFonts w:cstheme="minorHAnsi"/>
          <w:lang w:val="en-US"/>
        </w:rPr>
        <w:t>plastic composite waste</w:t>
      </w:r>
      <w:bookmarkEnd w:id="1"/>
    </w:p>
    <w:p w14:paraId="712AAD4E" w14:textId="77777777" w:rsidR="00C84427" w:rsidRPr="00B367CE" w:rsidRDefault="00C84427" w:rsidP="00C84427">
      <w:pPr>
        <w:rPr>
          <w:rFonts w:asciiTheme="minorHAnsi" w:hAnsiTheme="minorHAnsi" w:cstheme="minorHAnsi"/>
          <w:sz w:val="24"/>
          <w:szCs w:val="24"/>
          <w:lang w:val="en-US" w:eastAsia="zh-CN"/>
        </w:rPr>
      </w:pPr>
    </w:p>
    <w:p w14:paraId="533D4DD7" w14:textId="77777777" w:rsidR="00087926" w:rsidRPr="003010B0" w:rsidRDefault="00087926" w:rsidP="00B367CE">
      <w:pPr>
        <w:spacing w:before="0" w:after="160" w:line="276" w:lineRule="auto"/>
        <w:jc w:val="both"/>
        <w:rPr>
          <w:rFonts w:asciiTheme="minorHAnsi" w:hAnsiTheme="minorHAnsi" w:cstheme="minorHAnsi"/>
          <w:sz w:val="24"/>
          <w:szCs w:val="24"/>
          <w:lang w:val="en-US"/>
        </w:rPr>
      </w:pPr>
      <w:r w:rsidRPr="003010B0">
        <w:rPr>
          <w:rFonts w:asciiTheme="minorHAnsi" w:hAnsiTheme="minorHAnsi" w:cstheme="minorHAnsi"/>
          <w:sz w:val="24"/>
          <w:szCs w:val="24"/>
          <w:lang w:val="en-US"/>
        </w:rPr>
        <w:t xml:space="preserve">The second day of the event focused on a workshop dedicated to various </w:t>
      </w:r>
      <w:r w:rsidRPr="003010B0">
        <w:rPr>
          <w:rFonts w:asciiTheme="minorHAnsi" w:hAnsiTheme="minorHAnsi" w:cstheme="minorHAnsi"/>
          <w:b/>
          <w:bCs/>
          <w:sz w:val="24"/>
          <w:szCs w:val="24"/>
          <w:lang w:val="en-US"/>
        </w:rPr>
        <w:t>chemical solutions for composite recycling</w:t>
      </w:r>
      <w:r w:rsidRPr="003010B0">
        <w:rPr>
          <w:rFonts w:asciiTheme="minorHAnsi" w:hAnsiTheme="minorHAnsi" w:cstheme="minorHAnsi"/>
          <w:sz w:val="24"/>
          <w:szCs w:val="24"/>
          <w:lang w:val="en-US"/>
        </w:rPr>
        <w:t>. The session brought together speakers from several organizations, allowing stakeholders to connect and exchange knowledge more extensively.</w:t>
      </w:r>
    </w:p>
    <w:p w14:paraId="71E009BE"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The workshop began with an overview of recent </w:t>
      </w:r>
      <w:r w:rsidRPr="00B367CE">
        <w:rPr>
          <w:rFonts w:asciiTheme="minorHAnsi" w:hAnsiTheme="minorHAnsi" w:cstheme="minorHAnsi"/>
          <w:b/>
          <w:bCs/>
          <w:sz w:val="24"/>
          <w:szCs w:val="24"/>
          <w:lang w:val="en-US"/>
        </w:rPr>
        <w:t>advancements in composite recycling opportunities</w:t>
      </w:r>
      <w:r w:rsidRPr="00B367CE">
        <w:rPr>
          <w:rFonts w:asciiTheme="minorHAnsi" w:hAnsiTheme="minorHAnsi" w:cstheme="minorHAnsi"/>
          <w:sz w:val="24"/>
          <w:szCs w:val="24"/>
          <w:lang w:val="en-US"/>
        </w:rPr>
        <w:t xml:space="preserve"> and a general presentation of the </w:t>
      </w:r>
      <w:r w:rsidRPr="00B367CE">
        <w:rPr>
          <w:rFonts w:asciiTheme="minorHAnsi" w:hAnsiTheme="minorHAnsi" w:cstheme="minorHAnsi"/>
          <w:b/>
          <w:bCs/>
          <w:sz w:val="24"/>
          <w:szCs w:val="24"/>
          <w:lang w:val="en-US"/>
        </w:rPr>
        <w:t>CompositeCircle project</w:t>
      </w:r>
      <w:r w:rsidRPr="00B367CE">
        <w:rPr>
          <w:rFonts w:asciiTheme="minorHAnsi" w:hAnsiTheme="minorHAnsi" w:cstheme="minorHAnsi"/>
          <w:sz w:val="24"/>
          <w:szCs w:val="24"/>
          <w:lang w:val="en-US"/>
        </w:rPr>
        <w:t xml:space="preserve"> its objectives, current progress, and upcoming solutions. Following this, the </w:t>
      </w:r>
      <w:r w:rsidRPr="00B367CE">
        <w:rPr>
          <w:rFonts w:asciiTheme="minorHAnsi" w:hAnsiTheme="minorHAnsi" w:cstheme="minorHAnsi"/>
          <w:b/>
          <w:bCs/>
          <w:sz w:val="24"/>
          <w:szCs w:val="24"/>
          <w:lang w:val="en-US"/>
        </w:rPr>
        <w:t>Aarhus University</w:t>
      </w:r>
      <w:r w:rsidRPr="00B367CE">
        <w:rPr>
          <w:rFonts w:asciiTheme="minorHAnsi" w:hAnsiTheme="minorHAnsi" w:cstheme="minorHAnsi"/>
          <w:sz w:val="24"/>
          <w:szCs w:val="24"/>
          <w:lang w:val="en-US"/>
        </w:rPr>
        <w:t xml:space="preserve"> presented on </w:t>
      </w:r>
      <w:r w:rsidRPr="00B367CE">
        <w:rPr>
          <w:rFonts w:asciiTheme="minorHAnsi" w:hAnsiTheme="minorHAnsi" w:cstheme="minorHAnsi"/>
          <w:b/>
          <w:bCs/>
          <w:sz w:val="24"/>
          <w:szCs w:val="24"/>
          <w:lang w:val="en-US"/>
        </w:rPr>
        <w:t>recycling scenarios for fiber-reinforced composites (FRCs)</w:t>
      </w:r>
      <w:r w:rsidRPr="00B367CE">
        <w:rPr>
          <w:rFonts w:asciiTheme="minorHAnsi" w:hAnsiTheme="minorHAnsi" w:cstheme="minorHAnsi"/>
          <w:sz w:val="24"/>
          <w:szCs w:val="24"/>
          <w:lang w:val="en-US"/>
        </w:rPr>
        <w:t xml:space="preserve">. End-of-life wind turbine blades (EoL WTBs) represent a major challenge, as they are mainly composed of glass fiber- (GFRP) and carbon fiber-reinforced polymers (CFRP), whose thermoset matrices hinder reprocessing and decomposition. Alternatives to landfilling include </w:t>
      </w:r>
      <w:r w:rsidRPr="00B367CE">
        <w:rPr>
          <w:rFonts w:asciiTheme="minorHAnsi" w:hAnsiTheme="minorHAnsi" w:cstheme="minorHAnsi"/>
          <w:b/>
          <w:bCs/>
          <w:sz w:val="24"/>
          <w:szCs w:val="24"/>
          <w:lang w:val="en-US"/>
        </w:rPr>
        <w:t>mechanical, thermal, and chemical recycling</w:t>
      </w:r>
      <w:r w:rsidRPr="00B367CE">
        <w:rPr>
          <w:rFonts w:asciiTheme="minorHAnsi" w:hAnsiTheme="minorHAnsi" w:cstheme="minorHAnsi"/>
          <w:sz w:val="24"/>
          <w:szCs w:val="24"/>
          <w:lang w:val="en-US"/>
        </w:rPr>
        <w:t xml:space="preserve">, as well as </w:t>
      </w:r>
      <w:r w:rsidRPr="00B367CE">
        <w:rPr>
          <w:rFonts w:asciiTheme="minorHAnsi" w:hAnsiTheme="minorHAnsi" w:cstheme="minorHAnsi"/>
          <w:b/>
          <w:bCs/>
          <w:sz w:val="24"/>
          <w:szCs w:val="24"/>
          <w:lang w:val="en-US"/>
        </w:rPr>
        <w:t>co-processing in cement kilns</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energy recovery through incineration</w:t>
      </w:r>
      <w:r w:rsidRPr="00B367CE">
        <w:rPr>
          <w:rFonts w:asciiTheme="minorHAnsi" w:hAnsiTheme="minorHAnsi" w:cstheme="minorHAnsi"/>
          <w:sz w:val="24"/>
          <w:szCs w:val="24"/>
          <w:lang w:val="en-US"/>
        </w:rPr>
        <w:t>.</w:t>
      </w:r>
    </w:p>
    <w:p w14:paraId="3AE2B9A8"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b/>
          <w:bCs/>
          <w:sz w:val="24"/>
          <w:szCs w:val="24"/>
          <w:lang w:val="en-US"/>
        </w:rPr>
        <w:t>Mechanical recycling</w:t>
      </w:r>
      <w:r w:rsidRPr="00B367CE">
        <w:rPr>
          <w:rFonts w:asciiTheme="minorHAnsi" w:hAnsiTheme="minorHAnsi" w:cstheme="minorHAnsi"/>
          <w:sz w:val="24"/>
          <w:szCs w:val="24"/>
          <w:lang w:val="en-US"/>
        </w:rPr>
        <w:t xml:space="preserve"> involves cutting, crushing, and grinding blades at varying levels of precision, enabling their use in structural applications (e.g., bridges, furniture, road signs) or as ground fibers in secondary products such as 3D printing materials. While simple, cost-efficient, and environmentally friendly, the process produces lower-quality fibers (about 50% of virgin strength) and is energy-intensive. </w:t>
      </w:r>
      <w:r w:rsidRPr="00B367CE">
        <w:rPr>
          <w:rFonts w:asciiTheme="minorHAnsi" w:hAnsiTheme="minorHAnsi" w:cstheme="minorHAnsi"/>
          <w:b/>
          <w:bCs/>
          <w:sz w:val="24"/>
          <w:szCs w:val="24"/>
          <w:lang w:val="en-US"/>
        </w:rPr>
        <w:t>Thermal recycling</w:t>
      </w:r>
      <w:r w:rsidRPr="00B367CE">
        <w:rPr>
          <w:rFonts w:asciiTheme="minorHAnsi" w:hAnsiTheme="minorHAnsi" w:cstheme="minorHAnsi"/>
          <w:sz w:val="24"/>
          <w:szCs w:val="24"/>
          <w:lang w:val="en-US"/>
        </w:rPr>
        <w:t xml:space="preserve"> decomposes the resin at high temperatures: </w:t>
      </w:r>
      <w:r w:rsidRPr="00B367CE">
        <w:rPr>
          <w:rFonts w:asciiTheme="minorHAnsi" w:hAnsiTheme="minorHAnsi" w:cstheme="minorHAnsi"/>
          <w:b/>
          <w:bCs/>
          <w:sz w:val="24"/>
          <w:szCs w:val="24"/>
          <w:lang w:val="en-US"/>
        </w:rPr>
        <w:t>pyrolysis (450–700 °C)</w:t>
      </w:r>
      <w:r w:rsidRPr="00B367CE">
        <w:rPr>
          <w:rFonts w:asciiTheme="minorHAnsi" w:hAnsiTheme="minorHAnsi" w:cstheme="minorHAnsi"/>
          <w:sz w:val="24"/>
          <w:szCs w:val="24"/>
          <w:lang w:val="en-US"/>
        </w:rPr>
        <w:t xml:space="preserve"> can retain up to 80% of fiber strength and is particularly promising for carbon fibers; </w:t>
      </w:r>
      <w:r w:rsidRPr="00B367CE">
        <w:rPr>
          <w:rFonts w:asciiTheme="minorHAnsi" w:hAnsiTheme="minorHAnsi" w:cstheme="minorHAnsi"/>
          <w:b/>
          <w:bCs/>
          <w:sz w:val="24"/>
          <w:szCs w:val="24"/>
          <w:lang w:val="en-US"/>
        </w:rPr>
        <w:t>fluidized bed combustion</w:t>
      </w:r>
      <w:r w:rsidRPr="00B367CE">
        <w:rPr>
          <w:rFonts w:asciiTheme="minorHAnsi" w:hAnsiTheme="minorHAnsi" w:cstheme="minorHAnsi"/>
          <w:sz w:val="24"/>
          <w:szCs w:val="24"/>
          <w:lang w:val="en-US"/>
        </w:rPr>
        <w:t xml:space="preserve"> removes the matrix but weakens fibers; and </w:t>
      </w:r>
      <w:r w:rsidRPr="00B367CE">
        <w:rPr>
          <w:rFonts w:asciiTheme="minorHAnsi" w:hAnsiTheme="minorHAnsi" w:cstheme="minorHAnsi"/>
          <w:b/>
          <w:bCs/>
          <w:sz w:val="24"/>
          <w:szCs w:val="24"/>
          <w:lang w:val="en-US"/>
        </w:rPr>
        <w:t>microwave-assisted pyrolysis (MAP)</w:t>
      </w:r>
      <w:r w:rsidRPr="00B367CE">
        <w:rPr>
          <w:rFonts w:asciiTheme="minorHAnsi" w:hAnsiTheme="minorHAnsi" w:cstheme="minorHAnsi"/>
          <w:sz w:val="24"/>
          <w:szCs w:val="24"/>
          <w:lang w:val="en-US"/>
        </w:rPr>
        <w:t xml:space="preserve"> offers a clean and energy-efficient option, though still at a laboratory stage. </w:t>
      </w:r>
      <w:r w:rsidRPr="00B367CE">
        <w:rPr>
          <w:rFonts w:asciiTheme="minorHAnsi" w:hAnsiTheme="minorHAnsi" w:cstheme="minorHAnsi"/>
          <w:b/>
          <w:bCs/>
          <w:sz w:val="24"/>
          <w:szCs w:val="24"/>
          <w:lang w:val="en-US"/>
        </w:rPr>
        <w:t>Chemical recycling</w:t>
      </w:r>
      <w:r w:rsidRPr="00B367CE">
        <w:rPr>
          <w:rFonts w:asciiTheme="minorHAnsi" w:hAnsiTheme="minorHAnsi" w:cstheme="minorHAnsi"/>
          <w:sz w:val="24"/>
          <w:szCs w:val="24"/>
          <w:lang w:val="en-US"/>
        </w:rPr>
        <w:t xml:space="preserve">, especially </w:t>
      </w:r>
      <w:r w:rsidRPr="00B367CE">
        <w:rPr>
          <w:rFonts w:asciiTheme="minorHAnsi" w:hAnsiTheme="minorHAnsi" w:cstheme="minorHAnsi"/>
          <w:b/>
          <w:bCs/>
          <w:sz w:val="24"/>
          <w:szCs w:val="24"/>
          <w:lang w:val="en-US"/>
        </w:rPr>
        <w:t>solvolysis</w:t>
      </w:r>
      <w:r w:rsidRPr="00B367CE">
        <w:rPr>
          <w:rFonts w:asciiTheme="minorHAnsi" w:hAnsiTheme="minorHAnsi" w:cstheme="minorHAnsi"/>
          <w:sz w:val="24"/>
          <w:szCs w:val="24"/>
          <w:lang w:val="en-US"/>
        </w:rPr>
        <w:t xml:space="preserve">, uses solvents to break down the resin, allowing fiber recovery with yields up to 100% of near-virgin quality. However, the method remains expensive and technically demanding. </w:t>
      </w:r>
      <w:r w:rsidRPr="00B367CE">
        <w:rPr>
          <w:rFonts w:asciiTheme="minorHAnsi" w:hAnsiTheme="minorHAnsi" w:cstheme="minorHAnsi"/>
          <w:b/>
          <w:bCs/>
          <w:sz w:val="24"/>
          <w:szCs w:val="24"/>
          <w:lang w:val="en-US"/>
        </w:rPr>
        <w:t>Co-processing in cement kilns</w:t>
      </w:r>
      <w:r w:rsidRPr="00B367CE">
        <w:rPr>
          <w:rFonts w:asciiTheme="minorHAnsi" w:hAnsiTheme="minorHAnsi" w:cstheme="minorHAnsi"/>
          <w:sz w:val="24"/>
          <w:szCs w:val="24"/>
          <w:lang w:val="en-US"/>
        </w:rPr>
        <w:t xml:space="preserve"> is a mature and economically viable option for GFRP, utilizing organic content as fuel and binding inorganic residues into cement, although capacity and emission constraints limit its use. </w:t>
      </w:r>
      <w:r w:rsidRPr="00B367CE">
        <w:rPr>
          <w:rFonts w:asciiTheme="minorHAnsi" w:hAnsiTheme="minorHAnsi" w:cstheme="minorHAnsi"/>
          <w:b/>
          <w:bCs/>
          <w:sz w:val="24"/>
          <w:szCs w:val="24"/>
          <w:lang w:val="en-US"/>
        </w:rPr>
        <w:t>Energy recovery</w:t>
      </w:r>
      <w:r w:rsidRPr="00B367CE">
        <w:rPr>
          <w:rFonts w:asciiTheme="minorHAnsi" w:hAnsiTheme="minorHAnsi" w:cstheme="minorHAnsi"/>
          <w:sz w:val="24"/>
          <w:szCs w:val="24"/>
          <w:lang w:val="en-US"/>
        </w:rPr>
        <w:t xml:space="preserve"> by incineration at 800–1000 °C can generate heat and electricity but leaves up to 60% ash residue and is increasingly viewed as unsustainable, being banned in some EU countries.</w:t>
      </w:r>
    </w:p>
    <w:p w14:paraId="61DBD94F" w14:textId="104D3A71" w:rsidR="00C84427"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The second presentation, </w:t>
      </w:r>
      <w:r w:rsidRPr="00B367CE">
        <w:rPr>
          <w:rFonts w:asciiTheme="minorHAnsi" w:hAnsiTheme="minorHAnsi" w:cstheme="minorHAnsi"/>
          <w:b/>
          <w:bCs/>
          <w:sz w:val="24"/>
          <w:szCs w:val="24"/>
          <w:lang w:val="en-US"/>
        </w:rPr>
        <w:t>“Composite Recycling and the Law: Enabler or Obstacle?”</w:t>
      </w:r>
      <w:r w:rsidRPr="00B367CE">
        <w:rPr>
          <w:rFonts w:asciiTheme="minorHAnsi" w:hAnsiTheme="minorHAnsi" w:cstheme="minorHAnsi"/>
          <w:sz w:val="24"/>
          <w:szCs w:val="24"/>
          <w:lang w:val="en-US"/>
        </w:rPr>
        <w:t xml:space="preserve"> by the </w:t>
      </w:r>
      <w:r w:rsidRPr="00B367CE">
        <w:rPr>
          <w:rFonts w:asciiTheme="minorHAnsi" w:hAnsiTheme="minorHAnsi" w:cstheme="minorHAnsi"/>
          <w:b/>
          <w:bCs/>
          <w:sz w:val="24"/>
          <w:szCs w:val="24"/>
          <w:lang w:val="en-US"/>
        </w:rPr>
        <w:t>State Environmental Service</w:t>
      </w:r>
      <w:r w:rsidRPr="00B367CE">
        <w:rPr>
          <w:rFonts w:asciiTheme="minorHAnsi" w:hAnsiTheme="minorHAnsi" w:cstheme="minorHAnsi"/>
          <w:sz w:val="24"/>
          <w:szCs w:val="24"/>
          <w:lang w:val="en-US"/>
        </w:rPr>
        <w:t xml:space="preserve">, examined EU and national legislation concerning composite recycling and the transition towards a circular economy. Key policy frameworks discussed included the </w:t>
      </w:r>
      <w:r w:rsidRPr="00B367CE">
        <w:rPr>
          <w:rFonts w:asciiTheme="minorHAnsi" w:hAnsiTheme="minorHAnsi" w:cstheme="minorHAnsi"/>
          <w:b/>
          <w:bCs/>
          <w:sz w:val="24"/>
          <w:szCs w:val="24"/>
          <w:lang w:val="en-US"/>
        </w:rPr>
        <w:t>Waste Framework Directive</w:t>
      </w:r>
      <w:r w:rsidRPr="00B367CE">
        <w:rPr>
          <w:rFonts w:asciiTheme="minorHAnsi" w:hAnsiTheme="minorHAnsi" w:cstheme="minorHAnsi"/>
          <w:sz w:val="24"/>
          <w:szCs w:val="24"/>
          <w:lang w:val="en-US"/>
        </w:rPr>
        <w:t xml:space="preserve">, </w:t>
      </w:r>
      <w:r w:rsidRPr="00B367CE">
        <w:rPr>
          <w:rFonts w:asciiTheme="minorHAnsi" w:hAnsiTheme="minorHAnsi" w:cstheme="minorHAnsi"/>
          <w:b/>
          <w:bCs/>
          <w:sz w:val="24"/>
          <w:szCs w:val="24"/>
          <w:lang w:val="en-US"/>
        </w:rPr>
        <w:t>Industrial Emissions Directive</w:t>
      </w:r>
      <w:r w:rsidRPr="00B367CE">
        <w:rPr>
          <w:rFonts w:asciiTheme="minorHAnsi" w:hAnsiTheme="minorHAnsi" w:cstheme="minorHAnsi"/>
          <w:sz w:val="24"/>
          <w:szCs w:val="24"/>
          <w:lang w:val="en-US"/>
        </w:rPr>
        <w:t xml:space="preserve">, </w:t>
      </w:r>
      <w:r w:rsidRPr="00B367CE">
        <w:rPr>
          <w:rFonts w:asciiTheme="minorHAnsi" w:hAnsiTheme="minorHAnsi" w:cstheme="minorHAnsi"/>
          <w:b/>
          <w:bCs/>
          <w:sz w:val="24"/>
          <w:szCs w:val="24"/>
          <w:lang w:val="en-US"/>
        </w:rPr>
        <w:t>Landfill Directive</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Extended Producer Responsibility</w:t>
      </w:r>
      <w:r w:rsidRPr="00B367CE">
        <w:rPr>
          <w:rFonts w:asciiTheme="minorHAnsi" w:hAnsiTheme="minorHAnsi" w:cstheme="minorHAnsi"/>
          <w:sz w:val="24"/>
          <w:szCs w:val="24"/>
          <w:lang w:val="en-US"/>
        </w:rPr>
        <w:t xml:space="preserve">. National practices such as landfill bans and recycling obligations were also compared. Ongoing projects developing </w:t>
      </w:r>
      <w:r w:rsidRPr="00B367CE">
        <w:rPr>
          <w:rFonts w:asciiTheme="minorHAnsi" w:hAnsiTheme="minorHAnsi" w:cstheme="minorHAnsi"/>
          <w:b/>
          <w:bCs/>
          <w:sz w:val="24"/>
          <w:szCs w:val="24"/>
          <w:lang w:val="en-US"/>
        </w:rPr>
        <w:t>mechanical and chemical recycling methods</w:t>
      </w:r>
      <w:r w:rsidRPr="00B367CE">
        <w:rPr>
          <w:rFonts w:asciiTheme="minorHAnsi" w:hAnsiTheme="minorHAnsi" w:cstheme="minorHAnsi"/>
          <w:sz w:val="24"/>
          <w:szCs w:val="24"/>
          <w:lang w:val="en-US"/>
        </w:rPr>
        <w:t xml:space="preserve"> (e.g., pyrolysis and solvolysis) and new product applications from </w:t>
      </w:r>
      <w:r w:rsidRPr="00B367CE">
        <w:rPr>
          <w:rFonts w:asciiTheme="minorHAnsi" w:hAnsiTheme="minorHAnsi" w:cstheme="minorHAnsi"/>
          <w:sz w:val="24"/>
          <w:szCs w:val="24"/>
          <w:lang w:val="en-US"/>
        </w:rPr>
        <w:lastRenderedPageBreak/>
        <w:t xml:space="preserve">composite waste were highlighted. The </w:t>
      </w:r>
      <w:r w:rsidRPr="00B367CE">
        <w:rPr>
          <w:rFonts w:asciiTheme="minorHAnsi" w:hAnsiTheme="minorHAnsi" w:cstheme="minorHAnsi"/>
          <w:b/>
          <w:bCs/>
          <w:sz w:val="24"/>
          <w:szCs w:val="24"/>
          <w:lang w:val="en-US"/>
        </w:rPr>
        <w:t>CompositeCircle project (2025–2028)</w:t>
      </w:r>
      <w:r w:rsidRPr="00B367CE">
        <w:rPr>
          <w:rFonts w:asciiTheme="minorHAnsi" w:hAnsiTheme="minorHAnsi" w:cstheme="minorHAnsi"/>
          <w:sz w:val="24"/>
          <w:szCs w:val="24"/>
          <w:lang w:val="en-US"/>
        </w:rPr>
        <w:t xml:space="preserve"> aims to build regional recycling infrastructure across the Baltic Sea area. The session concluded that the EU has the potential to become a global leader in composite recycling provided that regulation evolves to include dedicated waste codes, clear recycling targets, and landfill bans.</w:t>
      </w:r>
    </w:p>
    <w:p w14:paraId="40D13ED3" w14:textId="25BC642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Following this, </w:t>
      </w:r>
      <w:r w:rsidRPr="00B367CE">
        <w:rPr>
          <w:rFonts w:asciiTheme="minorHAnsi" w:hAnsiTheme="minorHAnsi" w:cstheme="minorHAnsi"/>
          <w:b/>
          <w:bCs/>
          <w:sz w:val="24"/>
          <w:szCs w:val="24"/>
          <w:lang w:val="en-US"/>
        </w:rPr>
        <w:t>Composite United</w:t>
      </w:r>
      <w:r w:rsidRPr="00B367CE">
        <w:rPr>
          <w:rFonts w:asciiTheme="minorHAnsi" w:hAnsiTheme="minorHAnsi" w:cstheme="minorHAnsi"/>
          <w:sz w:val="24"/>
          <w:szCs w:val="24"/>
          <w:lang w:val="en-US"/>
        </w:rPr>
        <w:t xml:space="preserve"> presented its activities within the framework of the </w:t>
      </w:r>
      <w:r w:rsidRPr="00B367CE">
        <w:rPr>
          <w:rFonts w:asciiTheme="minorHAnsi" w:hAnsiTheme="minorHAnsi" w:cstheme="minorHAnsi"/>
          <w:b/>
          <w:bCs/>
          <w:sz w:val="24"/>
          <w:szCs w:val="24"/>
          <w:lang w:val="en-US"/>
        </w:rPr>
        <w:t>Ecodesign for Sustainable Products Regulation (ESPR)</w:t>
      </w:r>
      <w:r w:rsidRPr="00B367CE">
        <w:rPr>
          <w:rFonts w:asciiTheme="minorHAnsi" w:hAnsiTheme="minorHAnsi" w:cstheme="minorHAnsi"/>
          <w:sz w:val="24"/>
          <w:szCs w:val="24"/>
          <w:lang w:val="en-US"/>
        </w:rPr>
        <w:t xml:space="preserve">, which guides the design of sustainable and circular products across the EU. The organization highlighted the pivotal role of the </w:t>
      </w:r>
      <w:r w:rsidRPr="00B367CE">
        <w:rPr>
          <w:rFonts w:asciiTheme="minorHAnsi" w:hAnsiTheme="minorHAnsi" w:cstheme="minorHAnsi"/>
          <w:b/>
          <w:bCs/>
          <w:sz w:val="24"/>
          <w:szCs w:val="24"/>
          <w:lang w:val="en-US"/>
        </w:rPr>
        <w:t>Digital Product Passport (DPP)</w:t>
      </w:r>
      <w:r w:rsidRPr="00B367CE">
        <w:rPr>
          <w:rFonts w:asciiTheme="minorHAnsi" w:hAnsiTheme="minorHAnsi" w:cstheme="minorHAnsi"/>
          <w:sz w:val="24"/>
          <w:szCs w:val="24"/>
          <w:lang w:val="en-US"/>
        </w:rPr>
        <w:t xml:space="preserve"> as a future tool for collecting and sharing comprehensive product lifecycle data covering materials, manufacturing methods, performance, and recyclability among stakeholders. The DPP defines both </w:t>
      </w:r>
      <w:r w:rsidRPr="00B367CE">
        <w:rPr>
          <w:rFonts w:asciiTheme="minorHAnsi" w:hAnsiTheme="minorHAnsi" w:cstheme="minorHAnsi"/>
          <w:i/>
          <w:iCs/>
          <w:sz w:val="24"/>
          <w:szCs w:val="24"/>
          <w:lang w:val="en-US"/>
        </w:rPr>
        <w:t>how</w:t>
      </w:r>
      <w:r w:rsidRPr="00B367CE">
        <w:rPr>
          <w:rFonts w:asciiTheme="minorHAnsi" w:hAnsiTheme="minorHAnsi" w:cstheme="minorHAnsi"/>
          <w:sz w:val="24"/>
          <w:szCs w:val="24"/>
          <w:lang w:val="en-US"/>
        </w:rPr>
        <w:t xml:space="preserve"> and </w:t>
      </w:r>
      <w:r w:rsidRPr="00B367CE">
        <w:rPr>
          <w:rFonts w:asciiTheme="minorHAnsi" w:hAnsiTheme="minorHAnsi" w:cstheme="minorHAnsi"/>
          <w:i/>
          <w:iCs/>
          <w:sz w:val="24"/>
          <w:szCs w:val="24"/>
          <w:lang w:val="en-US"/>
        </w:rPr>
        <w:t>what</w:t>
      </w:r>
      <w:r w:rsidRPr="00B367CE">
        <w:rPr>
          <w:rFonts w:asciiTheme="minorHAnsi" w:hAnsiTheme="minorHAnsi" w:cstheme="minorHAnsi"/>
          <w:sz w:val="24"/>
          <w:szCs w:val="24"/>
          <w:lang w:val="en-US"/>
        </w:rPr>
        <w:t xml:space="preserve"> information is managed: the </w:t>
      </w:r>
      <w:r w:rsidRPr="00B367CE">
        <w:rPr>
          <w:rFonts w:asciiTheme="minorHAnsi" w:hAnsiTheme="minorHAnsi" w:cstheme="minorHAnsi"/>
          <w:i/>
          <w:iCs/>
          <w:sz w:val="24"/>
          <w:szCs w:val="24"/>
          <w:lang w:val="en-US"/>
        </w:rPr>
        <w:t>“how”</w:t>
      </w:r>
      <w:r w:rsidRPr="00B367CE">
        <w:rPr>
          <w:rFonts w:asciiTheme="minorHAnsi" w:hAnsiTheme="minorHAnsi" w:cstheme="minorHAnsi"/>
          <w:sz w:val="24"/>
          <w:szCs w:val="24"/>
          <w:lang w:val="en-US"/>
        </w:rPr>
        <w:t xml:space="preserve"> refers to digital platforms and standardized data-sharing protocols, while the </w:t>
      </w:r>
      <w:r w:rsidRPr="00B367CE">
        <w:rPr>
          <w:rFonts w:asciiTheme="minorHAnsi" w:hAnsiTheme="minorHAnsi" w:cstheme="minorHAnsi"/>
          <w:i/>
          <w:iCs/>
          <w:sz w:val="24"/>
          <w:szCs w:val="24"/>
          <w:lang w:val="en-US"/>
        </w:rPr>
        <w:t>“what”</w:t>
      </w:r>
      <w:r w:rsidRPr="00B367CE">
        <w:rPr>
          <w:rFonts w:asciiTheme="minorHAnsi" w:hAnsiTheme="minorHAnsi" w:cstheme="minorHAnsi"/>
          <w:sz w:val="24"/>
          <w:szCs w:val="24"/>
          <w:lang w:val="en-US"/>
        </w:rPr>
        <w:t xml:space="preserve"> covers regulatory, technical, and performance-related requirements. Although a unified passport system for composite materials does not yet exist, Composite United is actively involved in several key development initiatives such as </w:t>
      </w:r>
      <w:r w:rsidRPr="00B367CE">
        <w:rPr>
          <w:rFonts w:asciiTheme="minorHAnsi" w:hAnsiTheme="minorHAnsi" w:cstheme="minorHAnsi"/>
          <w:b/>
          <w:bCs/>
          <w:sz w:val="24"/>
          <w:szCs w:val="24"/>
          <w:lang w:val="en-US"/>
        </w:rPr>
        <w:t>DigiPass</w:t>
      </w:r>
      <w:r w:rsidRPr="00B367CE">
        <w:rPr>
          <w:rFonts w:asciiTheme="minorHAnsi" w:hAnsiTheme="minorHAnsi" w:cstheme="minorHAnsi"/>
          <w:sz w:val="24"/>
          <w:szCs w:val="24"/>
          <w:lang w:val="en-US"/>
        </w:rPr>
        <w:t xml:space="preserve">, </w:t>
      </w:r>
      <w:r w:rsidRPr="00B367CE">
        <w:rPr>
          <w:rFonts w:asciiTheme="minorHAnsi" w:hAnsiTheme="minorHAnsi" w:cstheme="minorHAnsi"/>
          <w:b/>
          <w:bCs/>
          <w:sz w:val="24"/>
          <w:szCs w:val="24"/>
          <w:lang w:val="en-US"/>
        </w:rPr>
        <w:t>FiberEUse</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MAI ÖkoCap</w:t>
      </w:r>
      <w:r w:rsidRPr="00B367CE">
        <w:rPr>
          <w:rFonts w:asciiTheme="minorHAnsi" w:hAnsiTheme="minorHAnsi" w:cstheme="minorHAnsi"/>
          <w:sz w:val="24"/>
          <w:szCs w:val="24"/>
          <w:lang w:val="en-US"/>
        </w:rPr>
        <w:t>—that aim to enhance recyclability and promote sustainable material management within the composite sector.</w:t>
      </w:r>
    </w:p>
    <w:p w14:paraId="3663FA25" w14:textId="77777777" w:rsidR="00087926" w:rsidRPr="003010B0" w:rsidRDefault="00087926" w:rsidP="00B367CE">
      <w:pPr>
        <w:spacing w:before="0" w:after="160" w:line="276" w:lineRule="auto"/>
        <w:jc w:val="both"/>
        <w:rPr>
          <w:rFonts w:asciiTheme="minorHAnsi" w:hAnsiTheme="minorHAnsi" w:cstheme="minorHAnsi"/>
          <w:sz w:val="24"/>
          <w:szCs w:val="24"/>
          <w:lang w:val="en-US"/>
        </w:rPr>
      </w:pPr>
      <w:r w:rsidRPr="003010B0">
        <w:rPr>
          <w:rFonts w:asciiTheme="minorHAnsi" w:hAnsiTheme="minorHAnsi" w:cstheme="minorHAnsi"/>
          <w:sz w:val="24"/>
          <w:szCs w:val="24"/>
          <w:lang w:val="en-US"/>
        </w:rPr>
        <w:t xml:space="preserve">After the introductory session, the focus turned to </w:t>
      </w:r>
      <w:r w:rsidRPr="003010B0">
        <w:rPr>
          <w:rFonts w:asciiTheme="minorHAnsi" w:hAnsiTheme="minorHAnsi" w:cstheme="minorHAnsi"/>
          <w:b/>
          <w:bCs/>
          <w:sz w:val="24"/>
          <w:szCs w:val="24"/>
          <w:lang w:val="en-US"/>
        </w:rPr>
        <w:t>“Solvolysis Technology Readiness Level and Challenges in Its Implementation”</w:t>
      </w:r>
      <w:r w:rsidRPr="003010B0">
        <w:rPr>
          <w:rFonts w:asciiTheme="minorHAnsi" w:hAnsiTheme="minorHAnsi" w:cstheme="minorHAnsi"/>
          <w:sz w:val="24"/>
          <w:szCs w:val="24"/>
          <w:lang w:val="en-US"/>
        </w:rPr>
        <w:t xml:space="preserve">, with speakers from the </w:t>
      </w:r>
      <w:r w:rsidRPr="003010B0">
        <w:rPr>
          <w:rFonts w:asciiTheme="minorHAnsi" w:hAnsiTheme="minorHAnsi" w:cstheme="minorHAnsi"/>
          <w:b/>
          <w:bCs/>
          <w:sz w:val="24"/>
          <w:szCs w:val="24"/>
          <w:lang w:val="en-US"/>
        </w:rPr>
        <w:t>Technical Research Centre of Finland (VTT)</w:t>
      </w:r>
      <w:r w:rsidRPr="003010B0">
        <w:rPr>
          <w:rFonts w:asciiTheme="minorHAnsi" w:hAnsiTheme="minorHAnsi" w:cstheme="minorHAnsi"/>
          <w:sz w:val="24"/>
          <w:szCs w:val="24"/>
          <w:lang w:val="en-US"/>
        </w:rPr>
        <w:t xml:space="preserve"> and the </w:t>
      </w:r>
      <w:r w:rsidRPr="003010B0">
        <w:rPr>
          <w:rFonts w:asciiTheme="minorHAnsi" w:hAnsiTheme="minorHAnsi" w:cstheme="minorHAnsi"/>
          <w:b/>
          <w:bCs/>
          <w:sz w:val="24"/>
          <w:szCs w:val="24"/>
          <w:lang w:val="en-US"/>
        </w:rPr>
        <w:t>Danish Technological Institute (DTI)</w:t>
      </w:r>
      <w:r w:rsidRPr="003010B0">
        <w:rPr>
          <w:rFonts w:asciiTheme="minorHAnsi" w:hAnsiTheme="minorHAnsi" w:cstheme="minorHAnsi"/>
          <w:sz w:val="24"/>
          <w:szCs w:val="24"/>
          <w:lang w:val="en-US"/>
        </w:rPr>
        <w:t>.</w:t>
      </w:r>
    </w:p>
    <w:p w14:paraId="348040F2"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VTT’s presentation, </w:t>
      </w:r>
      <w:r w:rsidRPr="00B367CE">
        <w:rPr>
          <w:rFonts w:asciiTheme="minorHAnsi" w:hAnsiTheme="minorHAnsi" w:cstheme="minorHAnsi"/>
          <w:i/>
          <w:iCs/>
          <w:sz w:val="24"/>
          <w:szCs w:val="24"/>
          <w:lang w:val="en-US"/>
        </w:rPr>
        <w:t>“Chemical Recycling Approaches for Plastics, Valorisation Pathways, and Challenges”</w:t>
      </w:r>
      <w:r w:rsidRPr="00B367CE">
        <w:rPr>
          <w:rFonts w:asciiTheme="minorHAnsi" w:hAnsiTheme="minorHAnsi" w:cstheme="minorHAnsi"/>
          <w:sz w:val="24"/>
          <w:szCs w:val="24"/>
          <w:lang w:val="en-US"/>
        </w:rPr>
        <w:t xml:space="preserve">, explored chemical recycling within the context of the </w:t>
      </w:r>
      <w:r w:rsidRPr="00B367CE">
        <w:rPr>
          <w:rFonts w:asciiTheme="minorHAnsi" w:hAnsiTheme="minorHAnsi" w:cstheme="minorHAnsi"/>
          <w:b/>
          <w:bCs/>
          <w:sz w:val="24"/>
          <w:szCs w:val="24"/>
          <w:lang w:val="en-US"/>
        </w:rPr>
        <w:t>EU waste hierarchy</w:t>
      </w:r>
      <w:r w:rsidRPr="00B367CE">
        <w:rPr>
          <w:rFonts w:asciiTheme="minorHAnsi" w:hAnsiTheme="minorHAnsi" w:cstheme="minorHAnsi"/>
          <w:sz w:val="24"/>
          <w:szCs w:val="24"/>
          <w:lang w:val="en-US"/>
        </w:rPr>
        <w:t xml:space="preserve"> and plastic circular economy. The presentation emphasized that efficient plastic utilization requires combining </w:t>
      </w:r>
      <w:r w:rsidRPr="00B367CE">
        <w:rPr>
          <w:rFonts w:asciiTheme="minorHAnsi" w:hAnsiTheme="minorHAnsi" w:cstheme="minorHAnsi"/>
          <w:b/>
          <w:bCs/>
          <w:sz w:val="24"/>
          <w:szCs w:val="24"/>
          <w:lang w:val="en-US"/>
        </w:rPr>
        <w:t>mechanical and chemical recycling</w:t>
      </w:r>
      <w:r w:rsidRPr="00B367CE">
        <w:rPr>
          <w:rFonts w:asciiTheme="minorHAnsi" w:hAnsiTheme="minorHAnsi" w:cstheme="minorHAnsi"/>
          <w:sz w:val="24"/>
          <w:szCs w:val="24"/>
          <w:lang w:val="en-US"/>
        </w:rPr>
        <w:t xml:space="preserve"> the former suitable for clean waste streams, the latter for complex or mixed materials. VTT presented several of its innovation projects, including the </w:t>
      </w:r>
      <w:r w:rsidRPr="00B367CE">
        <w:rPr>
          <w:rFonts w:asciiTheme="minorHAnsi" w:hAnsiTheme="minorHAnsi" w:cstheme="minorHAnsi"/>
          <w:b/>
          <w:bCs/>
          <w:sz w:val="24"/>
          <w:szCs w:val="24"/>
          <w:lang w:val="en-US"/>
        </w:rPr>
        <w:t>Olefy® process</w:t>
      </w:r>
      <w:r w:rsidRPr="00B367CE">
        <w:rPr>
          <w:rFonts w:asciiTheme="minorHAnsi" w:hAnsiTheme="minorHAnsi" w:cstheme="minorHAnsi"/>
          <w:sz w:val="24"/>
          <w:szCs w:val="24"/>
          <w:lang w:val="en-US"/>
        </w:rPr>
        <w:t xml:space="preserve">, which converts plastic waste into light olefins with lower emissions, and the </w:t>
      </w:r>
      <w:r w:rsidRPr="00B367CE">
        <w:rPr>
          <w:rFonts w:asciiTheme="minorHAnsi" w:hAnsiTheme="minorHAnsi" w:cstheme="minorHAnsi"/>
          <w:b/>
          <w:bCs/>
          <w:sz w:val="24"/>
          <w:szCs w:val="24"/>
          <w:lang w:val="en-US"/>
        </w:rPr>
        <w:t>Comporec project</w:t>
      </w:r>
      <w:r w:rsidRPr="00B367CE">
        <w:rPr>
          <w:rFonts w:asciiTheme="minorHAnsi" w:hAnsiTheme="minorHAnsi" w:cstheme="minorHAnsi"/>
          <w:sz w:val="24"/>
          <w:szCs w:val="24"/>
          <w:lang w:val="en-US"/>
        </w:rPr>
        <w:t xml:space="preserve">, which develops chemical recycling methods for composites. While chemical recycling is not yet economically viable, it is considered essential for achieving true circularity. Large-scale implementation, VTT stressed, will require </w:t>
      </w:r>
      <w:r w:rsidRPr="00B367CE">
        <w:rPr>
          <w:rFonts w:asciiTheme="minorHAnsi" w:hAnsiTheme="minorHAnsi" w:cstheme="minorHAnsi"/>
          <w:b/>
          <w:bCs/>
          <w:sz w:val="24"/>
          <w:szCs w:val="24"/>
          <w:lang w:val="en-US"/>
        </w:rPr>
        <w:t>close cooperation between industry, research, and policymakers</w:t>
      </w:r>
      <w:r w:rsidRPr="00B367CE">
        <w:rPr>
          <w:rFonts w:asciiTheme="minorHAnsi" w:hAnsiTheme="minorHAnsi" w:cstheme="minorHAnsi"/>
          <w:sz w:val="24"/>
          <w:szCs w:val="24"/>
          <w:lang w:val="en-US"/>
        </w:rPr>
        <w:t>, as well as a stable regulatory and investment environment.</w:t>
      </w:r>
    </w:p>
    <w:p w14:paraId="6F94BFCD" w14:textId="77777777" w:rsidR="003D5E66" w:rsidRPr="00B367CE" w:rsidRDefault="003D5E66" w:rsidP="00B367CE">
      <w:pPr>
        <w:spacing w:line="276" w:lineRule="auto"/>
        <w:jc w:val="both"/>
        <w:rPr>
          <w:rFonts w:asciiTheme="minorHAnsi" w:hAnsiTheme="minorHAnsi" w:cstheme="minorHAnsi"/>
          <w:sz w:val="24"/>
          <w:szCs w:val="24"/>
          <w:lang w:val="en-US"/>
        </w:rPr>
      </w:pPr>
    </w:p>
    <w:p w14:paraId="502AF616" w14:textId="0EE6F203" w:rsidR="007A78B1" w:rsidRPr="00B367CE" w:rsidRDefault="007A78B1" w:rsidP="00B367CE">
      <w:pPr>
        <w:spacing w:line="276" w:lineRule="auto"/>
        <w:jc w:val="both"/>
        <w:rPr>
          <w:rFonts w:asciiTheme="minorHAnsi" w:hAnsiTheme="minorHAnsi" w:cstheme="minorHAnsi"/>
          <w:sz w:val="24"/>
          <w:szCs w:val="24"/>
          <w:lang w:val="en-US"/>
        </w:rPr>
      </w:pPr>
    </w:p>
    <w:p w14:paraId="09A1EB64" w14:textId="159BEE92" w:rsidR="007A78B1" w:rsidRPr="00B367CE" w:rsidRDefault="007A78B1" w:rsidP="6E5389A5">
      <w:pPr>
        <w:spacing w:line="276" w:lineRule="auto"/>
        <w:jc w:val="both"/>
        <w:rPr>
          <w:rFonts w:asciiTheme="minorHAnsi" w:hAnsiTheme="minorHAnsi" w:cstheme="minorBidi"/>
          <w:sz w:val="24"/>
          <w:szCs w:val="24"/>
          <w:lang w:val="en-US"/>
        </w:rPr>
      </w:pPr>
    </w:p>
    <w:p w14:paraId="7EA13458" w14:textId="3406D80D" w:rsidR="007A78B1" w:rsidRPr="00B367CE" w:rsidRDefault="007A78B1" w:rsidP="4E2272F5">
      <w:pPr>
        <w:spacing w:line="276" w:lineRule="auto"/>
        <w:jc w:val="center"/>
        <w:rPr>
          <w:rFonts w:asciiTheme="minorHAnsi" w:hAnsiTheme="minorHAnsi" w:cstheme="minorBidi"/>
          <w:sz w:val="24"/>
          <w:szCs w:val="24"/>
          <w:lang w:val="en-US"/>
        </w:rPr>
      </w:pPr>
    </w:p>
    <w:p w14:paraId="0FB2F015" w14:textId="59F33CEF" w:rsidR="007A78B1" w:rsidRPr="00B367CE" w:rsidRDefault="007A78B1" w:rsidP="00B367CE">
      <w:pPr>
        <w:spacing w:line="276" w:lineRule="auto"/>
        <w:jc w:val="both"/>
        <w:rPr>
          <w:rFonts w:asciiTheme="minorHAnsi" w:hAnsiTheme="minorHAnsi" w:cstheme="minorHAnsi"/>
          <w:sz w:val="24"/>
          <w:szCs w:val="24"/>
          <w:lang w:val="en-US"/>
        </w:rPr>
      </w:pPr>
    </w:p>
    <w:p w14:paraId="47ABCE82" w14:textId="52ABFFD1" w:rsidR="007A78B1" w:rsidRPr="00B367CE" w:rsidRDefault="007A78B1" w:rsidP="00B367CE">
      <w:pPr>
        <w:spacing w:line="276" w:lineRule="auto"/>
        <w:jc w:val="both"/>
        <w:rPr>
          <w:rFonts w:asciiTheme="minorHAnsi" w:hAnsiTheme="minorHAnsi" w:cstheme="minorHAnsi"/>
          <w:sz w:val="24"/>
          <w:szCs w:val="24"/>
          <w:lang w:val="en-US"/>
        </w:rPr>
      </w:pPr>
    </w:p>
    <w:p w14:paraId="24640382" w14:textId="476E92FE" w:rsidR="007A78B1" w:rsidRPr="00B367CE" w:rsidRDefault="00D130EC"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noProof/>
          <w:sz w:val="24"/>
          <w:szCs w:val="24"/>
        </w:rPr>
        <w:lastRenderedPageBreak/>
        <mc:AlternateContent>
          <mc:Choice Requires="wps">
            <w:drawing>
              <wp:anchor distT="0" distB="0" distL="114300" distR="114300" simplePos="0" relativeHeight="251663360" behindDoc="0" locked="0" layoutInCell="1" allowOverlap="1" wp14:anchorId="24F18989" wp14:editId="368028E9">
                <wp:simplePos x="0" y="0"/>
                <wp:positionH relativeFrom="column">
                  <wp:posOffset>296545</wp:posOffset>
                </wp:positionH>
                <wp:positionV relativeFrom="paragraph">
                  <wp:posOffset>3918585</wp:posOffset>
                </wp:positionV>
                <wp:extent cx="4947285" cy="420370"/>
                <wp:effectExtent l="0" t="0" r="5715" b="0"/>
                <wp:wrapSquare wrapText="bothSides"/>
                <wp:docPr id="1031262798" name="Text Box 1"/>
                <wp:cNvGraphicFramePr/>
                <a:graphic xmlns:a="http://schemas.openxmlformats.org/drawingml/2006/main">
                  <a:graphicData uri="http://schemas.microsoft.com/office/word/2010/wordprocessingShape">
                    <wps:wsp>
                      <wps:cNvSpPr txBox="1"/>
                      <wps:spPr>
                        <a:xfrm>
                          <a:off x="0" y="0"/>
                          <a:ext cx="4947285" cy="420370"/>
                        </a:xfrm>
                        <a:prstGeom prst="rect">
                          <a:avLst/>
                        </a:prstGeom>
                        <a:solidFill>
                          <a:prstClr val="white"/>
                        </a:solidFill>
                        <a:ln>
                          <a:noFill/>
                        </a:ln>
                      </wps:spPr>
                      <wps:txbx>
                        <w:txbxContent>
                          <w:p w14:paraId="0E716B08" w14:textId="11A4247A" w:rsidR="003D5E66" w:rsidRPr="003D5E66" w:rsidRDefault="00261558" w:rsidP="003D5E66">
                            <w:pPr>
                              <w:pStyle w:val="Kuvaotsikko"/>
                              <w:rPr>
                                <w:lang w:val="en-US"/>
                              </w:rPr>
                            </w:pPr>
                            <w:r>
                              <w:t xml:space="preserve">Figure </w:t>
                            </w:r>
                            <w:r>
                              <w:fldChar w:fldCharType="begin"/>
                            </w:r>
                            <w:r>
                              <w:instrText xml:space="preserve"> SEQ Figure \* ARABIC </w:instrText>
                            </w:r>
                            <w:r>
                              <w:fldChar w:fldCharType="separate"/>
                            </w:r>
                            <w:r>
                              <w:rPr>
                                <w:noProof/>
                              </w:rPr>
                              <w:t>2</w:t>
                            </w:r>
                            <w:r>
                              <w:fldChar w:fldCharType="end"/>
                            </w:r>
                            <w:r w:rsidR="003D5E66">
                              <w:t>.</w:t>
                            </w:r>
                            <w:r w:rsidR="003D5E66" w:rsidRPr="003D5E66">
                              <w:rPr>
                                <w:rFonts w:ascii="Times New Roman" w:eastAsia="Times New Roman" w:hAnsi="Times New Roman"/>
                                <w:sz w:val="24"/>
                                <w:szCs w:val="24"/>
                                <w:lang w:val="en-US" w:eastAsia="fi-FI"/>
                              </w:rPr>
                              <w:t xml:space="preserve"> </w:t>
                            </w:r>
                            <w:r w:rsidR="003D5E66" w:rsidRPr="003D5E66">
                              <w:rPr>
                                <w:lang w:val="en-US"/>
                              </w:rPr>
                              <w:t>Workshop panel discussion</w:t>
                            </w:r>
                            <w:r w:rsidR="003D5E66">
                              <w:rPr>
                                <w:lang w:val="en-US"/>
                              </w:rPr>
                              <w:t xml:space="preserve">, </w:t>
                            </w:r>
                            <w:r w:rsidR="003D5E66" w:rsidRPr="003D5E66">
                              <w:rPr>
                                <w:b/>
                                <w:bCs/>
                                <w:lang w:val="en-US"/>
                              </w:rPr>
                              <w:t>exploring the challenges and opportunities of composite recycling</w:t>
                            </w:r>
                          </w:p>
                          <w:p w14:paraId="679EBD79" w14:textId="3023D531" w:rsidR="00261558" w:rsidRPr="003D5E66" w:rsidRDefault="00261558" w:rsidP="00261558">
                            <w:pPr>
                              <w:pStyle w:val="Kuvaotsikko"/>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18989" id="_x0000_s1027" type="#_x0000_t202" style="position:absolute;left:0;text-align:left;margin-left:23.35pt;margin-top:308.55pt;width:389.55pt;height:3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" stroked="f">
                <v:textbox inset="0,0,0,0">
                  <w:txbxContent>
                    <w:p w14:paraId="0E716B08" w14:textId="11A4247A" w:rsidR="003D5E66" w:rsidRPr="003D5E66" w:rsidRDefault="00261558" w:rsidP="003D5E66">
                      <w:pPr>
                        <w:pStyle w:val="Kuvaotsikko"/>
                        <w:rPr>
                          <w:lang w:val="en-US"/>
                        </w:rPr>
                      </w:pPr>
                      <w:r>
                        <w:t xml:space="preserve">Figure </w:t>
                      </w:r>
                      <w:r>
                        <w:fldChar w:fldCharType="begin"/>
                      </w:r>
                      <w:r>
                        <w:instrText xml:space="preserve"> SEQ Figure \* ARABIC </w:instrText>
                      </w:r>
                      <w:r>
                        <w:fldChar w:fldCharType="separate"/>
                      </w:r>
                      <w:r>
                        <w:rPr>
                          <w:noProof/>
                        </w:rPr>
                        <w:t>2</w:t>
                      </w:r>
                      <w:r>
                        <w:fldChar w:fldCharType="end"/>
                      </w:r>
                      <w:r w:rsidR="003D5E66">
                        <w:t>.</w:t>
                      </w:r>
                      <w:r w:rsidR="003D5E66" w:rsidRPr="003D5E66">
                        <w:rPr>
                          <w:rFonts w:ascii="Times New Roman" w:eastAsia="Times New Roman" w:hAnsi="Times New Roman"/>
                          <w:sz w:val="24"/>
                          <w:szCs w:val="24"/>
                          <w:lang w:val="en-US" w:eastAsia="fi-FI"/>
                        </w:rPr>
                        <w:t xml:space="preserve"> </w:t>
                      </w:r>
                      <w:r w:rsidR="003D5E66" w:rsidRPr="003D5E66">
                        <w:rPr>
                          <w:lang w:val="en-US"/>
                        </w:rPr>
                        <w:t>Workshop panel discussion</w:t>
                      </w:r>
                      <w:r w:rsidR="003D5E66">
                        <w:rPr>
                          <w:lang w:val="en-US"/>
                        </w:rPr>
                        <w:t xml:space="preserve">, </w:t>
                      </w:r>
                      <w:r w:rsidR="003D5E66" w:rsidRPr="003D5E66">
                        <w:rPr>
                          <w:b/>
                          <w:bCs/>
                          <w:lang w:val="en-US"/>
                        </w:rPr>
                        <w:t>exploring the challenges and opportunities of composite recycling</w:t>
                      </w:r>
                    </w:p>
                    <w:p w14:paraId="679EBD79" w14:textId="3023D531" w:rsidR="00261558" w:rsidRPr="003D5E66" w:rsidRDefault="00261558" w:rsidP="00261558">
                      <w:pPr>
                        <w:pStyle w:val="Kuvaotsikko"/>
                        <w:rPr>
                          <w:noProof/>
                          <w:lang w:val="en-US"/>
                        </w:rPr>
                      </w:pPr>
                    </w:p>
                  </w:txbxContent>
                </v:textbox>
                <w10:wrap type="square"/>
              </v:shape>
            </w:pict>
          </mc:Fallback>
        </mc:AlternateContent>
      </w:r>
      <w:r>
        <w:rPr>
          <w:noProof/>
        </w:rPr>
        <w:drawing>
          <wp:anchor distT="0" distB="0" distL="114300" distR="114300" simplePos="0" relativeHeight="251661312" behindDoc="0" locked="0" layoutInCell="1" allowOverlap="1" wp14:anchorId="2A9E0791" wp14:editId="7809F023">
            <wp:simplePos x="0" y="0"/>
            <wp:positionH relativeFrom="column">
              <wp:posOffset>295275</wp:posOffset>
            </wp:positionH>
            <wp:positionV relativeFrom="paragraph">
              <wp:posOffset>86360</wp:posOffset>
            </wp:positionV>
            <wp:extent cx="4947285" cy="3679190"/>
            <wp:effectExtent l="0" t="0" r="5715" b="0"/>
            <wp:wrapTopAndBottom/>
            <wp:docPr id="507074415"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74415" name="Picture 1" descr="A group of people in a 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7285" cy="3679190"/>
                    </a:xfrm>
                    <a:prstGeom prst="rect">
                      <a:avLst/>
                    </a:prstGeom>
                  </pic:spPr>
                </pic:pic>
              </a:graphicData>
            </a:graphic>
            <wp14:sizeRelH relativeFrom="page">
              <wp14:pctWidth>0</wp14:pctWidth>
            </wp14:sizeRelH>
            <wp14:sizeRelV relativeFrom="page">
              <wp14:pctHeight>0</wp14:pctHeight>
            </wp14:sizeRelV>
          </wp:anchor>
        </w:drawing>
      </w:r>
    </w:p>
    <w:p w14:paraId="65CDF501" w14:textId="67D09199" w:rsidR="007A78B1" w:rsidRPr="00B367CE" w:rsidRDefault="007A78B1" w:rsidP="00B367CE">
      <w:pPr>
        <w:spacing w:line="276" w:lineRule="auto"/>
        <w:jc w:val="both"/>
        <w:rPr>
          <w:rFonts w:asciiTheme="minorHAnsi" w:hAnsiTheme="minorHAnsi" w:cstheme="minorHAnsi"/>
          <w:sz w:val="24"/>
          <w:szCs w:val="24"/>
          <w:lang w:val="en-US"/>
        </w:rPr>
      </w:pPr>
    </w:p>
    <w:p w14:paraId="16757525" w14:textId="77777777" w:rsidR="007A78B1" w:rsidRPr="00B367CE" w:rsidRDefault="007A78B1" w:rsidP="00B367CE">
      <w:pPr>
        <w:spacing w:line="276" w:lineRule="auto"/>
        <w:jc w:val="both"/>
        <w:rPr>
          <w:rFonts w:asciiTheme="minorHAnsi" w:hAnsiTheme="minorHAnsi" w:cstheme="minorHAnsi"/>
          <w:sz w:val="24"/>
          <w:szCs w:val="24"/>
          <w:lang w:val="en-US"/>
        </w:rPr>
      </w:pPr>
    </w:p>
    <w:p w14:paraId="37486625" w14:textId="72789192"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The </w:t>
      </w:r>
      <w:r w:rsidRPr="00B367CE">
        <w:rPr>
          <w:rFonts w:asciiTheme="minorHAnsi" w:hAnsiTheme="minorHAnsi" w:cstheme="minorHAnsi"/>
          <w:b/>
          <w:bCs/>
          <w:sz w:val="24"/>
          <w:szCs w:val="24"/>
          <w:lang w:val="en-US"/>
        </w:rPr>
        <w:t>Danish Technological Institute (DTI)</w:t>
      </w:r>
      <w:r w:rsidRPr="00B367CE">
        <w:rPr>
          <w:rFonts w:asciiTheme="minorHAnsi" w:hAnsiTheme="minorHAnsi" w:cstheme="minorHAnsi"/>
          <w:sz w:val="24"/>
          <w:szCs w:val="24"/>
          <w:lang w:val="en-US"/>
        </w:rPr>
        <w:t xml:space="preserve"> followed with its presentation, </w:t>
      </w:r>
      <w:r w:rsidRPr="00B367CE">
        <w:rPr>
          <w:rFonts w:asciiTheme="minorHAnsi" w:hAnsiTheme="minorHAnsi" w:cstheme="minorHAnsi"/>
          <w:i/>
          <w:iCs/>
          <w:sz w:val="24"/>
          <w:szCs w:val="24"/>
          <w:lang w:val="en-US"/>
        </w:rPr>
        <w:t>“Chemical Recycling of Composites”</w:t>
      </w:r>
      <w:r w:rsidRPr="00B367CE">
        <w:rPr>
          <w:rFonts w:asciiTheme="minorHAnsi" w:hAnsiTheme="minorHAnsi" w:cstheme="minorHAnsi"/>
          <w:sz w:val="24"/>
          <w:szCs w:val="24"/>
          <w:lang w:val="en-US"/>
        </w:rPr>
        <w:t xml:space="preserve">, focusing on </w:t>
      </w:r>
      <w:r w:rsidRPr="00B367CE">
        <w:rPr>
          <w:rFonts w:asciiTheme="minorHAnsi" w:hAnsiTheme="minorHAnsi" w:cstheme="minorHAnsi"/>
          <w:b/>
          <w:bCs/>
          <w:sz w:val="24"/>
          <w:szCs w:val="24"/>
          <w:lang w:val="en-US"/>
        </w:rPr>
        <w:t>solvolysis</w:t>
      </w:r>
      <w:r w:rsidRPr="00B367CE">
        <w:rPr>
          <w:rFonts w:asciiTheme="minorHAnsi" w:hAnsiTheme="minorHAnsi" w:cstheme="minorHAnsi"/>
          <w:sz w:val="24"/>
          <w:szCs w:val="24"/>
          <w:lang w:val="en-US"/>
        </w:rPr>
        <w:t xml:space="preserve"> as a key solution for recycling thermoset-based composites. DTI’s </w:t>
      </w:r>
      <w:r w:rsidRPr="00B367CE">
        <w:rPr>
          <w:rFonts w:asciiTheme="minorHAnsi" w:hAnsiTheme="minorHAnsi" w:cstheme="minorHAnsi"/>
          <w:b/>
          <w:bCs/>
          <w:sz w:val="24"/>
          <w:szCs w:val="24"/>
          <w:lang w:val="en-US"/>
        </w:rPr>
        <w:t>Circular Resources</w:t>
      </w:r>
      <w:r w:rsidRPr="00B367CE">
        <w:rPr>
          <w:rFonts w:asciiTheme="minorHAnsi" w:hAnsiTheme="minorHAnsi" w:cstheme="minorHAnsi"/>
          <w:sz w:val="24"/>
          <w:szCs w:val="24"/>
          <w:lang w:val="en-US"/>
        </w:rPr>
        <w:t xml:space="preserve"> unit develops chemical and lifecycle-based circular economy solutions. Solvolysis breaks down polymer matrices using solvents and reagents, enabling the recovery and reuse of fibers and other materials. Two main strategic approaches were outlined: </w:t>
      </w:r>
      <w:r w:rsidRPr="00B367CE">
        <w:rPr>
          <w:rFonts w:asciiTheme="minorHAnsi" w:hAnsiTheme="minorHAnsi" w:cstheme="minorHAnsi"/>
          <w:b/>
          <w:bCs/>
          <w:sz w:val="24"/>
          <w:szCs w:val="24"/>
          <w:lang w:val="en-US"/>
        </w:rPr>
        <w:t>“Design for Recycling”</w:t>
      </w:r>
      <w:r w:rsidRPr="00B367CE">
        <w:rPr>
          <w:rFonts w:asciiTheme="minorHAnsi" w:hAnsiTheme="minorHAnsi" w:cstheme="minorHAnsi"/>
          <w:sz w:val="24"/>
          <w:szCs w:val="24"/>
          <w:lang w:val="en-US"/>
        </w:rPr>
        <w:t xml:space="preserve">, which develops future resin systems (e.g., Recyclamine, EzCyclo, vitrimers) designed for easy dismantling and recyclability, and </w:t>
      </w:r>
      <w:r w:rsidRPr="00B367CE">
        <w:rPr>
          <w:rFonts w:asciiTheme="minorHAnsi" w:hAnsiTheme="minorHAnsi" w:cstheme="minorHAnsi"/>
          <w:b/>
          <w:bCs/>
          <w:sz w:val="24"/>
          <w:szCs w:val="24"/>
          <w:lang w:val="en-US"/>
        </w:rPr>
        <w:t>“Addressing Legacy Composites”</w:t>
      </w:r>
      <w:r w:rsidRPr="00B367CE">
        <w:rPr>
          <w:rFonts w:asciiTheme="minorHAnsi" w:hAnsiTheme="minorHAnsi" w:cstheme="minorHAnsi"/>
          <w:sz w:val="24"/>
          <w:szCs w:val="24"/>
          <w:lang w:val="en-US"/>
        </w:rPr>
        <w:t>, which targets existing thermoset materials using high-temperature, pressure-resistant, and corrosion-resistant processes.</w:t>
      </w:r>
    </w:p>
    <w:p w14:paraId="6F83784C"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t xml:space="preserve">DTI demonstrated the method’s application in </w:t>
      </w:r>
      <w:r w:rsidRPr="00B367CE">
        <w:rPr>
          <w:rFonts w:asciiTheme="minorHAnsi" w:hAnsiTheme="minorHAnsi" w:cstheme="minorHAnsi"/>
          <w:b/>
          <w:bCs/>
          <w:sz w:val="24"/>
          <w:szCs w:val="24"/>
          <w:lang w:val="en-US"/>
        </w:rPr>
        <w:t>wind turbine blades</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ski recycling</w:t>
      </w:r>
      <w:r w:rsidRPr="00B367CE">
        <w:rPr>
          <w:rFonts w:asciiTheme="minorHAnsi" w:hAnsiTheme="minorHAnsi" w:cstheme="minorHAnsi"/>
          <w:sz w:val="24"/>
          <w:szCs w:val="24"/>
          <w:lang w:val="en-US"/>
        </w:rPr>
        <w:t xml:space="preserve">. Epoxy degradation was achieved using sodium hydroxide and a ruthenium catalyst at 190 °C, while ski recycling proved both technically feasible and environmentally beneficial saving approximately </w:t>
      </w:r>
      <w:r w:rsidRPr="00B367CE">
        <w:rPr>
          <w:rFonts w:asciiTheme="minorHAnsi" w:hAnsiTheme="minorHAnsi" w:cstheme="minorHAnsi"/>
          <w:b/>
          <w:bCs/>
          <w:sz w:val="24"/>
          <w:szCs w:val="24"/>
          <w:lang w:val="en-US"/>
        </w:rPr>
        <w:t>7 kg CO₂-equivalent per ski pair</w:t>
      </w:r>
      <w:r w:rsidRPr="00B367CE">
        <w:rPr>
          <w:rFonts w:asciiTheme="minorHAnsi" w:hAnsiTheme="minorHAnsi" w:cstheme="minorHAnsi"/>
          <w:sz w:val="24"/>
          <w:szCs w:val="24"/>
          <w:lang w:val="en-US"/>
        </w:rPr>
        <w:t xml:space="preserve"> compared to landfilling. Although solvolysis remains economically challenging at small scales, automation and process scaling are expected to improve profitability. Labor and equipment costs currently dominate, while revenue comes mainly from the recovery of valuable materials such as metals and plastics.</w:t>
      </w:r>
    </w:p>
    <w:p w14:paraId="1C27F5BC" w14:textId="6D501721" w:rsidR="003D5E66" w:rsidRDefault="00087926" w:rsidP="00FC66A5">
      <w:pPr>
        <w:spacing w:line="276" w:lineRule="auto"/>
        <w:jc w:val="both"/>
        <w:rPr>
          <w:rFonts w:asciiTheme="minorHAnsi" w:hAnsiTheme="minorHAnsi" w:cstheme="minorHAnsi"/>
          <w:sz w:val="24"/>
          <w:szCs w:val="24"/>
          <w:lang w:val="en-US"/>
        </w:rPr>
      </w:pPr>
      <w:r w:rsidRPr="00B367CE">
        <w:rPr>
          <w:rFonts w:asciiTheme="minorHAnsi" w:hAnsiTheme="minorHAnsi" w:cstheme="minorHAnsi"/>
          <w:sz w:val="24"/>
          <w:szCs w:val="24"/>
          <w:lang w:val="en-US"/>
        </w:rPr>
        <w:lastRenderedPageBreak/>
        <w:t xml:space="preserve">In summary, solvolysis offers a </w:t>
      </w:r>
      <w:r w:rsidRPr="00B367CE">
        <w:rPr>
          <w:rFonts w:asciiTheme="minorHAnsi" w:hAnsiTheme="minorHAnsi" w:cstheme="minorHAnsi"/>
          <w:b/>
          <w:bCs/>
          <w:sz w:val="24"/>
          <w:szCs w:val="24"/>
          <w:lang w:val="en-US"/>
        </w:rPr>
        <w:t>technically viable and environmentally sound</w:t>
      </w:r>
      <w:r w:rsidRPr="00B367CE">
        <w:rPr>
          <w:rFonts w:asciiTheme="minorHAnsi" w:hAnsiTheme="minorHAnsi" w:cstheme="minorHAnsi"/>
          <w:sz w:val="24"/>
          <w:szCs w:val="24"/>
          <w:lang w:val="en-US"/>
        </w:rPr>
        <w:t xml:space="preserve"> pathway for composite recycling but requires </w:t>
      </w:r>
      <w:r w:rsidRPr="00B367CE">
        <w:rPr>
          <w:rFonts w:asciiTheme="minorHAnsi" w:hAnsiTheme="minorHAnsi" w:cstheme="minorHAnsi"/>
          <w:b/>
          <w:bCs/>
          <w:sz w:val="24"/>
          <w:szCs w:val="24"/>
          <w:lang w:val="en-US"/>
        </w:rPr>
        <w:t>process optimization, value-chain development, and robust business models</w:t>
      </w:r>
      <w:r w:rsidRPr="00B367CE">
        <w:rPr>
          <w:rFonts w:asciiTheme="minorHAnsi" w:hAnsiTheme="minorHAnsi" w:cstheme="minorHAnsi"/>
          <w:sz w:val="24"/>
          <w:szCs w:val="24"/>
          <w:lang w:val="en-US"/>
        </w:rPr>
        <w:t xml:space="preserve"> for commercialization. The key questions moving forward concern </w:t>
      </w:r>
      <w:r w:rsidRPr="00B367CE">
        <w:rPr>
          <w:rFonts w:asciiTheme="minorHAnsi" w:hAnsiTheme="minorHAnsi" w:cstheme="minorHAnsi"/>
          <w:b/>
          <w:bCs/>
          <w:sz w:val="24"/>
          <w:szCs w:val="24"/>
          <w:lang w:val="en-US"/>
        </w:rPr>
        <w:t>who will operate recycling systems and what incentives</w:t>
      </w:r>
      <w:r w:rsidRPr="00B367CE">
        <w:rPr>
          <w:rFonts w:asciiTheme="minorHAnsi" w:hAnsiTheme="minorHAnsi" w:cstheme="minorHAnsi"/>
          <w:sz w:val="24"/>
          <w:szCs w:val="24"/>
          <w:lang w:val="en-US"/>
        </w:rPr>
        <w:t xml:space="preserve"> will drive their adoption. Collaboration across the value chain, </w:t>
      </w:r>
      <w:r w:rsidRPr="00B367CE">
        <w:rPr>
          <w:rFonts w:asciiTheme="minorHAnsi" w:hAnsiTheme="minorHAnsi" w:cstheme="minorHAnsi"/>
          <w:b/>
          <w:bCs/>
          <w:sz w:val="24"/>
          <w:szCs w:val="24"/>
          <w:lang w:val="en-US"/>
        </w:rPr>
        <w:t>designing products for recyclability</w:t>
      </w:r>
      <w:r w:rsidRPr="00B367CE">
        <w:rPr>
          <w:rFonts w:asciiTheme="minorHAnsi" w:hAnsiTheme="minorHAnsi" w:cstheme="minorHAnsi"/>
          <w:sz w:val="24"/>
          <w:szCs w:val="24"/>
          <w:lang w:val="en-US"/>
        </w:rPr>
        <w:t xml:space="preserve">, and supportive </w:t>
      </w:r>
      <w:r w:rsidRPr="00B367CE">
        <w:rPr>
          <w:rFonts w:asciiTheme="minorHAnsi" w:hAnsiTheme="minorHAnsi" w:cstheme="minorHAnsi"/>
          <w:b/>
          <w:bCs/>
          <w:sz w:val="24"/>
          <w:szCs w:val="24"/>
          <w:lang w:val="en-US"/>
        </w:rPr>
        <w:t>legislation</w:t>
      </w:r>
      <w:r w:rsidRPr="00B367CE">
        <w:rPr>
          <w:rFonts w:asciiTheme="minorHAnsi" w:hAnsiTheme="minorHAnsi" w:cstheme="minorHAnsi"/>
          <w:sz w:val="24"/>
          <w:szCs w:val="24"/>
          <w:lang w:val="en-US"/>
        </w:rPr>
        <w:t xml:space="preserve"> are essential to realizing sustainable composite recycling.</w:t>
      </w:r>
    </w:p>
    <w:p w14:paraId="35099779" w14:textId="77777777" w:rsidR="00FC66A5" w:rsidRPr="00B367CE" w:rsidRDefault="00FC66A5" w:rsidP="00FC66A5">
      <w:pPr>
        <w:spacing w:line="276" w:lineRule="auto"/>
        <w:jc w:val="both"/>
        <w:rPr>
          <w:rFonts w:asciiTheme="minorHAnsi" w:hAnsiTheme="minorHAnsi" w:cstheme="minorHAnsi"/>
          <w:sz w:val="24"/>
          <w:szCs w:val="24"/>
          <w:lang w:val="en-US"/>
        </w:rPr>
      </w:pPr>
    </w:p>
    <w:p w14:paraId="374BEF28" w14:textId="60FB1A2C" w:rsidR="00087926" w:rsidRPr="003010B0" w:rsidRDefault="00087926" w:rsidP="00FC66A5">
      <w:pPr>
        <w:spacing w:before="0" w:after="160" w:line="276" w:lineRule="auto"/>
        <w:jc w:val="both"/>
        <w:rPr>
          <w:rFonts w:asciiTheme="minorHAnsi" w:hAnsiTheme="minorHAnsi" w:cstheme="minorHAnsi"/>
          <w:sz w:val="24"/>
          <w:szCs w:val="24"/>
          <w:lang w:val="en-US"/>
        </w:rPr>
      </w:pPr>
      <w:r w:rsidRPr="003010B0">
        <w:rPr>
          <w:rFonts w:asciiTheme="minorHAnsi" w:hAnsiTheme="minorHAnsi" w:cstheme="minorHAnsi"/>
          <w:sz w:val="24"/>
          <w:szCs w:val="24"/>
          <w:lang w:val="en-US"/>
        </w:rPr>
        <w:t xml:space="preserve">The final workshop session featured an </w:t>
      </w:r>
      <w:r w:rsidRPr="003010B0">
        <w:rPr>
          <w:rFonts w:asciiTheme="minorHAnsi" w:hAnsiTheme="minorHAnsi" w:cstheme="minorHAnsi"/>
          <w:b/>
          <w:bCs/>
          <w:sz w:val="24"/>
          <w:szCs w:val="24"/>
          <w:lang w:val="en-US"/>
        </w:rPr>
        <w:t>industry perspective</w:t>
      </w:r>
      <w:r w:rsidRPr="003010B0">
        <w:rPr>
          <w:rFonts w:asciiTheme="minorHAnsi" w:hAnsiTheme="minorHAnsi" w:cstheme="minorHAnsi"/>
          <w:sz w:val="24"/>
          <w:szCs w:val="24"/>
          <w:lang w:val="en-US"/>
        </w:rPr>
        <w:t xml:space="preserve"> on solvolysis, with speakers from </w:t>
      </w:r>
      <w:r w:rsidRPr="003010B0">
        <w:rPr>
          <w:rFonts w:asciiTheme="minorHAnsi" w:hAnsiTheme="minorHAnsi" w:cstheme="minorHAnsi"/>
          <w:b/>
          <w:bCs/>
          <w:sz w:val="24"/>
          <w:szCs w:val="24"/>
          <w:lang w:val="en-US"/>
        </w:rPr>
        <w:t>NOMA Resins</w:t>
      </w:r>
      <w:r w:rsidRPr="003010B0">
        <w:rPr>
          <w:rFonts w:asciiTheme="minorHAnsi" w:hAnsiTheme="minorHAnsi" w:cstheme="minorHAnsi"/>
          <w:sz w:val="24"/>
          <w:szCs w:val="24"/>
          <w:lang w:val="en-US"/>
        </w:rPr>
        <w:t xml:space="preserve"> and </w:t>
      </w:r>
      <w:r w:rsidRPr="003010B0">
        <w:rPr>
          <w:rFonts w:asciiTheme="minorHAnsi" w:hAnsiTheme="minorHAnsi" w:cstheme="minorHAnsi"/>
          <w:b/>
          <w:bCs/>
          <w:sz w:val="24"/>
          <w:szCs w:val="24"/>
          <w:lang w:val="en-US"/>
        </w:rPr>
        <w:t>Podcomp</w:t>
      </w:r>
      <w:r w:rsidRPr="003010B0">
        <w:rPr>
          <w:rFonts w:asciiTheme="minorHAnsi" w:hAnsiTheme="minorHAnsi" w:cstheme="minorHAnsi"/>
          <w:sz w:val="24"/>
          <w:szCs w:val="24"/>
          <w:lang w:val="en-US"/>
        </w:rPr>
        <w:t>.</w:t>
      </w:r>
    </w:p>
    <w:p w14:paraId="77229976"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b/>
          <w:bCs/>
          <w:sz w:val="24"/>
          <w:szCs w:val="24"/>
          <w:lang w:val="en-US"/>
        </w:rPr>
        <w:t>NOMA Resins</w:t>
      </w:r>
      <w:r w:rsidRPr="00B367CE">
        <w:rPr>
          <w:rFonts w:asciiTheme="minorHAnsi" w:hAnsiTheme="minorHAnsi" w:cstheme="minorHAnsi"/>
          <w:sz w:val="24"/>
          <w:szCs w:val="24"/>
          <w:lang w:val="en-US"/>
        </w:rPr>
        <w:t xml:space="preserve"> develops innovative, eco-friendly composite solutions using recycled carbon and glass fibers combined with bio-based epoxy resins. Their research focuses on </w:t>
      </w:r>
      <w:r w:rsidRPr="00B367CE">
        <w:rPr>
          <w:rFonts w:asciiTheme="minorHAnsi" w:hAnsiTheme="minorHAnsi" w:cstheme="minorHAnsi"/>
          <w:b/>
          <w:bCs/>
          <w:sz w:val="24"/>
          <w:szCs w:val="24"/>
          <w:lang w:val="en-US"/>
        </w:rPr>
        <w:t>chemical recycling of cured composites</w:t>
      </w:r>
      <w:r w:rsidRPr="00B367CE">
        <w:rPr>
          <w:rFonts w:asciiTheme="minorHAnsi" w:hAnsiTheme="minorHAnsi" w:cstheme="minorHAnsi"/>
          <w:sz w:val="24"/>
          <w:szCs w:val="24"/>
          <w:lang w:val="en-US"/>
        </w:rPr>
        <w:t xml:space="preserve">, </w:t>
      </w:r>
      <w:r w:rsidRPr="00B367CE">
        <w:rPr>
          <w:rFonts w:asciiTheme="minorHAnsi" w:hAnsiTheme="minorHAnsi" w:cstheme="minorHAnsi"/>
          <w:b/>
          <w:bCs/>
          <w:sz w:val="24"/>
          <w:szCs w:val="24"/>
          <w:lang w:val="en-US"/>
        </w:rPr>
        <w:t>epoxy porosity analysis</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adhesion promoter testing</w:t>
      </w:r>
      <w:r w:rsidRPr="00B367CE">
        <w:rPr>
          <w:rFonts w:asciiTheme="minorHAnsi" w:hAnsiTheme="minorHAnsi" w:cstheme="minorHAnsi"/>
          <w:sz w:val="24"/>
          <w:szCs w:val="24"/>
          <w:lang w:val="en-US"/>
        </w:rPr>
        <w:t xml:space="preserve">. NOMA’s products demonstrate excellent mechanical performance and a reduced carbon footprint composites can contain up to </w:t>
      </w:r>
      <w:r w:rsidRPr="00B367CE">
        <w:rPr>
          <w:rFonts w:asciiTheme="minorHAnsi" w:hAnsiTheme="minorHAnsi" w:cstheme="minorHAnsi"/>
          <w:b/>
          <w:bCs/>
          <w:sz w:val="24"/>
          <w:szCs w:val="24"/>
          <w:lang w:val="en-US"/>
        </w:rPr>
        <w:t>50% recycled material</w:t>
      </w:r>
      <w:r w:rsidRPr="00B367CE">
        <w:rPr>
          <w:rFonts w:asciiTheme="minorHAnsi" w:hAnsiTheme="minorHAnsi" w:cstheme="minorHAnsi"/>
          <w:sz w:val="24"/>
          <w:szCs w:val="24"/>
          <w:lang w:val="en-US"/>
        </w:rPr>
        <w:t xml:space="preserve"> and are produced in compliance with the </w:t>
      </w:r>
      <w:r w:rsidRPr="00B367CE">
        <w:rPr>
          <w:rFonts w:asciiTheme="minorHAnsi" w:hAnsiTheme="minorHAnsi" w:cstheme="minorHAnsi"/>
          <w:b/>
          <w:bCs/>
          <w:sz w:val="24"/>
          <w:szCs w:val="24"/>
          <w:lang w:val="en-US"/>
        </w:rPr>
        <w:t>ECR R118 standard</w:t>
      </w:r>
      <w:r w:rsidRPr="00B367CE">
        <w:rPr>
          <w:rFonts w:asciiTheme="minorHAnsi" w:hAnsiTheme="minorHAnsi" w:cstheme="minorHAnsi"/>
          <w:sz w:val="24"/>
          <w:szCs w:val="24"/>
          <w:lang w:val="en-US"/>
        </w:rPr>
        <w:t>. The company utilizes various molding techniques, including compression molding, infusion, and hot-pressing, and offers specialized composites with fire-retardant, antistatic, and conductive properties. Examples include inspection hatches made from recycled composite combined with polyurethane layers. NOMA’s technology aims to minimize waste and lower the environmental impact of the composite industry.</w:t>
      </w:r>
    </w:p>
    <w:p w14:paraId="05662C19" w14:textId="77777777" w:rsidR="00087926" w:rsidRPr="00B367CE" w:rsidRDefault="00087926" w:rsidP="00B367CE">
      <w:pPr>
        <w:spacing w:line="276" w:lineRule="auto"/>
        <w:jc w:val="both"/>
        <w:rPr>
          <w:rFonts w:asciiTheme="minorHAnsi" w:hAnsiTheme="minorHAnsi" w:cstheme="minorHAnsi"/>
          <w:sz w:val="24"/>
          <w:szCs w:val="24"/>
          <w:lang w:val="en-US"/>
        </w:rPr>
      </w:pPr>
      <w:r w:rsidRPr="00B367CE">
        <w:rPr>
          <w:rFonts w:asciiTheme="minorHAnsi" w:hAnsiTheme="minorHAnsi" w:cstheme="minorHAnsi"/>
          <w:b/>
          <w:bCs/>
          <w:sz w:val="24"/>
          <w:szCs w:val="24"/>
          <w:lang w:val="en-US"/>
        </w:rPr>
        <w:t>Podcomp</w:t>
      </w:r>
      <w:r w:rsidRPr="00B367CE">
        <w:rPr>
          <w:rFonts w:asciiTheme="minorHAnsi" w:hAnsiTheme="minorHAnsi" w:cstheme="minorHAnsi"/>
          <w:sz w:val="24"/>
          <w:szCs w:val="24"/>
          <w:lang w:val="en-US"/>
        </w:rPr>
        <w:t xml:space="preserve">, a Swedish composite manufacturer with 45 employees, specializes in </w:t>
      </w:r>
      <w:r w:rsidRPr="00B367CE">
        <w:rPr>
          <w:rFonts w:asciiTheme="minorHAnsi" w:hAnsiTheme="minorHAnsi" w:cstheme="minorHAnsi"/>
          <w:b/>
          <w:bCs/>
          <w:sz w:val="24"/>
          <w:szCs w:val="24"/>
          <w:lang w:val="en-US"/>
        </w:rPr>
        <w:t>bathroom modules</w:t>
      </w:r>
      <w:r w:rsidRPr="00B367CE">
        <w:rPr>
          <w:rFonts w:asciiTheme="minorHAnsi" w:hAnsiTheme="minorHAnsi" w:cstheme="minorHAnsi"/>
          <w:sz w:val="24"/>
          <w:szCs w:val="24"/>
          <w:lang w:val="en-US"/>
        </w:rPr>
        <w:t xml:space="preserve"> but also produces train carriages and technical housing units. Its production relies on polymer composites made from polyester and vinyl ester resins, glass fiber mats, and recycled PET foam. However, the process generates significant waste such as sandwich panel cut-offs, glass mat scraps, and cured resin that currently ends up in landfills or energy recovery. Podcomp is exploring ways to reuse recycled fibers, particularly in mat or roll form, where either aligned or random fiber orientation can be used depending on application requirements. The fibers must be compatible with resins, mechanically durable, and support efficient manufacturing while maintaining documented environmental performance through </w:t>
      </w:r>
      <w:r w:rsidRPr="00B367CE">
        <w:rPr>
          <w:rFonts w:asciiTheme="minorHAnsi" w:hAnsiTheme="minorHAnsi" w:cstheme="minorHAnsi"/>
          <w:b/>
          <w:bCs/>
          <w:sz w:val="24"/>
          <w:szCs w:val="24"/>
          <w:lang w:val="en-US"/>
        </w:rPr>
        <w:t>Environmental Product Declarations (EPDs)</w:t>
      </w:r>
      <w:r w:rsidRPr="00B367CE">
        <w:rPr>
          <w:rFonts w:asciiTheme="minorHAnsi" w:hAnsiTheme="minorHAnsi" w:cstheme="minorHAnsi"/>
          <w:sz w:val="24"/>
          <w:szCs w:val="24"/>
          <w:lang w:val="en-US"/>
        </w:rPr>
        <w:t xml:space="preserve">. For resin recycling, Podcomp highlighted the importance of </w:t>
      </w:r>
      <w:r w:rsidRPr="00B367CE">
        <w:rPr>
          <w:rFonts w:asciiTheme="minorHAnsi" w:hAnsiTheme="minorHAnsi" w:cstheme="minorHAnsi"/>
          <w:b/>
          <w:bCs/>
          <w:sz w:val="24"/>
          <w:szCs w:val="24"/>
          <w:lang w:val="en-US"/>
        </w:rPr>
        <w:t>quality consistency</w:t>
      </w:r>
      <w:r w:rsidRPr="00B367CE">
        <w:rPr>
          <w:rFonts w:asciiTheme="minorHAnsi" w:hAnsiTheme="minorHAnsi" w:cstheme="minorHAnsi"/>
          <w:sz w:val="24"/>
          <w:szCs w:val="24"/>
          <w:lang w:val="en-US"/>
        </w:rPr>
        <w:t xml:space="preserve"> and </w:t>
      </w:r>
      <w:r w:rsidRPr="00B367CE">
        <w:rPr>
          <w:rFonts w:asciiTheme="minorHAnsi" w:hAnsiTheme="minorHAnsi" w:cstheme="minorHAnsi"/>
          <w:b/>
          <w:bCs/>
          <w:sz w:val="24"/>
          <w:szCs w:val="24"/>
          <w:lang w:val="en-US"/>
        </w:rPr>
        <w:t>carbon footprint reduction</w:t>
      </w:r>
      <w:r w:rsidRPr="00B367CE">
        <w:rPr>
          <w:rFonts w:asciiTheme="minorHAnsi" w:hAnsiTheme="minorHAnsi" w:cstheme="minorHAnsi"/>
          <w:sz w:val="24"/>
          <w:szCs w:val="24"/>
          <w:lang w:val="en-US"/>
        </w:rPr>
        <w:t xml:space="preserve">, noting that the use of recycled chemicals depends largely on resin producers. The company’s overall goal is to </w:t>
      </w:r>
      <w:r w:rsidRPr="00B367CE">
        <w:rPr>
          <w:rFonts w:asciiTheme="minorHAnsi" w:hAnsiTheme="minorHAnsi" w:cstheme="minorHAnsi"/>
          <w:b/>
          <w:bCs/>
          <w:sz w:val="24"/>
          <w:szCs w:val="24"/>
          <w:lang w:val="en-US"/>
        </w:rPr>
        <w:t>reduce its environmental impact</w:t>
      </w:r>
      <w:r w:rsidRPr="00B367CE">
        <w:rPr>
          <w:rFonts w:asciiTheme="minorHAnsi" w:hAnsiTheme="minorHAnsi" w:cstheme="minorHAnsi"/>
          <w:sz w:val="24"/>
          <w:szCs w:val="24"/>
          <w:lang w:val="en-US"/>
        </w:rPr>
        <w:t xml:space="preserve"> by integrating recycled materials that meet both </w:t>
      </w:r>
      <w:r w:rsidRPr="00B367CE">
        <w:rPr>
          <w:rFonts w:asciiTheme="minorHAnsi" w:hAnsiTheme="minorHAnsi" w:cstheme="minorHAnsi"/>
          <w:b/>
          <w:bCs/>
          <w:sz w:val="24"/>
          <w:szCs w:val="24"/>
          <w:lang w:val="en-US"/>
        </w:rPr>
        <w:t>technical and sustainability standards</w:t>
      </w:r>
      <w:r w:rsidRPr="00B367CE">
        <w:rPr>
          <w:rFonts w:asciiTheme="minorHAnsi" w:hAnsiTheme="minorHAnsi" w:cstheme="minorHAnsi"/>
          <w:sz w:val="24"/>
          <w:szCs w:val="24"/>
          <w:lang w:val="en-US"/>
        </w:rPr>
        <w:t>.</w:t>
      </w:r>
    </w:p>
    <w:p w14:paraId="3BB661AC" w14:textId="77777777" w:rsidR="00087926" w:rsidRPr="003010B0" w:rsidRDefault="00087926" w:rsidP="00B367CE">
      <w:pPr>
        <w:spacing w:before="0" w:after="160" w:line="276" w:lineRule="auto"/>
        <w:jc w:val="both"/>
        <w:rPr>
          <w:rFonts w:asciiTheme="minorHAnsi" w:hAnsiTheme="minorHAnsi" w:cstheme="minorHAnsi"/>
          <w:sz w:val="24"/>
          <w:szCs w:val="24"/>
          <w:lang w:val="en-US"/>
        </w:rPr>
      </w:pPr>
      <w:r w:rsidRPr="003010B0">
        <w:rPr>
          <w:rFonts w:asciiTheme="minorHAnsi" w:hAnsiTheme="minorHAnsi" w:cstheme="minorHAnsi"/>
          <w:sz w:val="24"/>
          <w:szCs w:val="24"/>
          <w:lang w:val="en-US"/>
        </w:rPr>
        <w:t xml:space="preserve">The workshop concluded with a </w:t>
      </w:r>
      <w:r w:rsidRPr="003010B0">
        <w:rPr>
          <w:rFonts w:asciiTheme="minorHAnsi" w:hAnsiTheme="minorHAnsi" w:cstheme="minorHAnsi"/>
          <w:b/>
          <w:bCs/>
          <w:sz w:val="24"/>
          <w:szCs w:val="24"/>
          <w:lang w:val="en-US"/>
        </w:rPr>
        <w:t>panel discussion</w:t>
      </w:r>
      <w:r w:rsidRPr="003010B0">
        <w:rPr>
          <w:rFonts w:asciiTheme="minorHAnsi" w:hAnsiTheme="minorHAnsi" w:cstheme="minorHAnsi"/>
          <w:sz w:val="24"/>
          <w:szCs w:val="24"/>
          <w:lang w:val="en-US"/>
        </w:rPr>
        <w:t xml:space="preserve"> on the </w:t>
      </w:r>
      <w:r w:rsidRPr="003010B0">
        <w:rPr>
          <w:rFonts w:asciiTheme="minorHAnsi" w:hAnsiTheme="minorHAnsi" w:cstheme="minorHAnsi"/>
          <w:b/>
          <w:bCs/>
          <w:sz w:val="24"/>
          <w:szCs w:val="24"/>
          <w:lang w:val="en-US"/>
        </w:rPr>
        <w:t>challenges and opportunities in fiber-reinforced composite recycling</w:t>
      </w:r>
      <w:r w:rsidRPr="003010B0">
        <w:rPr>
          <w:rFonts w:asciiTheme="minorHAnsi" w:hAnsiTheme="minorHAnsi" w:cstheme="minorHAnsi"/>
          <w:sz w:val="24"/>
          <w:szCs w:val="24"/>
          <w:lang w:val="en-US"/>
        </w:rPr>
        <w:t>. Participants debated which factors</w:t>
      </w:r>
      <w:r w:rsidRPr="00B367CE">
        <w:rPr>
          <w:rFonts w:asciiTheme="minorHAnsi" w:hAnsiTheme="minorHAnsi" w:cstheme="minorHAnsi"/>
          <w:sz w:val="24"/>
          <w:szCs w:val="24"/>
          <w:lang w:val="en-US"/>
        </w:rPr>
        <w:t xml:space="preserve"> </w:t>
      </w:r>
      <w:r w:rsidRPr="003010B0">
        <w:rPr>
          <w:rFonts w:asciiTheme="minorHAnsi" w:hAnsiTheme="minorHAnsi" w:cstheme="minorHAnsi"/>
          <w:sz w:val="24"/>
          <w:szCs w:val="24"/>
          <w:lang w:val="en-US"/>
        </w:rPr>
        <w:t>technology, economics, regulation, or market demand</w:t>
      </w:r>
      <w:r w:rsidRPr="00B367CE">
        <w:rPr>
          <w:rFonts w:asciiTheme="minorHAnsi" w:hAnsiTheme="minorHAnsi" w:cstheme="minorHAnsi"/>
          <w:sz w:val="24"/>
          <w:szCs w:val="24"/>
          <w:lang w:val="en-US"/>
        </w:rPr>
        <w:t xml:space="preserve"> </w:t>
      </w:r>
      <w:r w:rsidRPr="003010B0">
        <w:rPr>
          <w:rFonts w:asciiTheme="minorHAnsi" w:hAnsiTheme="minorHAnsi" w:cstheme="minorHAnsi"/>
          <w:sz w:val="24"/>
          <w:szCs w:val="24"/>
          <w:lang w:val="en-US"/>
        </w:rPr>
        <w:t xml:space="preserve">serve as the greatest enabler or barrier to scaling up recycling. From a technological perspective, the discussion focused on the current </w:t>
      </w:r>
      <w:r w:rsidRPr="003010B0">
        <w:rPr>
          <w:rFonts w:asciiTheme="minorHAnsi" w:hAnsiTheme="minorHAnsi" w:cstheme="minorHAnsi"/>
          <w:sz w:val="24"/>
          <w:szCs w:val="24"/>
          <w:lang w:val="en-US"/>
        </w:rPr>
        <w:lastRenderedPageBreak/>
        <w:t xml:space="preserve">limitations of </w:t>
      </w:r>
      <w:r w:rsidRPr="003010B0">
        <w:rPr>
          <w:rFonts w:asciiTheme="minorHAnsi" w:hAnsiTheme="minorHAnsi" w:cstheme="minorHAnsi"/>
          <w:b/>
          <w:bCs/>
          <w:sz w:val="24"/>
          <w:szCs w:val="24"/>
          <w:lang w:val="en-US"/>
        </w:rPr>
        <w:t>chemical recycling methods such as solvolysis</w:t>
      </w:r>
      <w:r w:rsidRPr="003010B0">
        <w:rPr>
          <w:rFonts w:asciiTheme="minorHAnsi" w:hAnsiTheme="minorHAnsi" w:cstheme="minorHAnsi"/>
          <w:sz w:val="24"/>
          <w:szCs w:val="24"/>
          <w:lang w:val="en-US"/>
        </w:rPr>
        <w:t xml:space="preserve"> and the breakthroughs needed for industrial implementation. From the industrial viewpoint, </w:t>
      </w:r>
      <w:r w:rsidRPr="003010B0">
        <w:rPr>
          <w:rFonts w:asciiTheme="minorHAnsi" w:hAnsiTheme="minorHAnsi" w:cstheme="minorHAnsi"/>
          <w:b/>
          <w:bCs/>
          <w:sz w:val="24"/>
          <w:szCs w:val="24"/>
          <w:lang w:val="en-US"/>
        </w:rPr>
        <w:t>standards and certifications</w:t>
      </w:r>
      <w:r w:rsidRPr="003010B0">
        <w:rPr>
          <w:rFonts w:asciiTheme="minorHAnsi" w:hAnsiTheme="minorHAnsi" w:cstheme="minorHAnsi"/>
          <w:sz w:val="24"/>
          <w:szCs w:val="24"/>
          <w:lang w:val="en-US"/>
        </w:rPr>
        <w:t xml:space="preserve"> were seen as crucial for improving the acceptance of recycled materials in supply chains. The conversation also covered customer willingness to pay for sustainable materials and the most promising application areas, such as the </w:t>
      </w:r>
      <w:r w:rsidRPr="003010B0">
        <w:rPr>
          <w:rFonts w:asciiTheme="minorHAnsi" w:hAnsiTheme="minorHAnsi" w:cstheme="minorHAnsi"/>
          <w:b/>
          <w:bCs/>
          <w:sz w:val="24"/>
          <w:szCs w:val="24"/>
          <w:lang w:val="en-US"/>
        </w:rPr>
        <w:t>automotive, wind energy, and aerospace sectors</w:t>
      </w:r>
      <w:r w:rsidRPr="003010B0">
        <w:rPr>
          <w:rFonts w:asciiTheme="minorHAnsi" w:hAnsiTheme="minorHAnsi" w:cstheme="minorHAnsi"/>
          <w:sz w:val="24"/>
          <w:szCs w:val="24"/>
          <w:lang w:val="en-US"/>
        </w:rPr>
        <w:t>.</w:t>
      </w:r>
    </w:p>
    <w:p w14:paraId="5ECDCBDD" w14:textId="77777777" w:rsidR="00087926" w:rsidRPr="003010B0" w:rsidRDefault="00087926" w:rsidP="00B367CE">
      <w:pPr>
        <w:spacing w:before="0" w:after="160" w:line="276" w:lineRule="auto"/>
        <w:jc w:val="both"/>
        <w:rPr>
          <w:rFonts w:asciiTheme="minorHAnsi" w:hAnsiTheme="minorHAnsi" w:cstheme="minorHAnsi"/>
          <w:sz w:val="24"/>
          <w:szCs w:val="24"/>
          <w:lang w:val="en-US"/>
        </w:rPr>
      </w:pPr>
      <w:r w:rsidRPr="003010B0">
        <w:rPr>
          <w:rFonts w:asciiTheme="minorHAnsi" w:hAnsiTheme="minorHAnsi" w:cstheme="minorHAnsi"/>
          <w:sz w:val="24"/>
          <w:szCs w:val="24"/>
          <w:lang w:val="en-US"/>
        </w:rPr>
        <w:t xml:space="preserve">Regulatory perspectives emphasized </w:t>
      </w:r>
      <w:r w:rsidRPr="003010B0">
        <w:rPr>
          <w:rFonts w:asciiTheme="minorHAnsi" w:hAnsiTheme="minorHAnsi" w:cstheme="minorHAnsi"/>
          <w:b/>
          <w:bCs/>
          <w:sz w:val="24"/>
          <w:szCs w:val="24"/>
          <w:lang w:val="en-US"/>
        </w:rPr>
        <w:t>policy instruments</w:t>
      </w:r>
      <w:r w:rsidRPr="003010B0">
        <w:rPr>
          <w:rFonts w:asciiTheme="minorHAnsi" w:hAnsiTheme="minorHAnsi" w:cstheme="minorHAnsi"/>
          <w:sz w:val="24"/>
          <w:szCs w:val="24"/>
          <w:lang w:val="en-US"/>
        </w:rPr>
        <w:t xml:space="preserve"> like </w:t>
      </w:r>
      <w:r w:rsidRPr="003010B0">
        <w:rPr>
          <w:rFonts w:asciiTheme="minorHAnsi" w:hAnsiTheme="minorHAnsi" w:cstheme="minorHAnsi"/>
          <w:b/>
          <w:bCs/>
          <w:sz w:val="24"/>
          <w:szCs w:val="24"/>
          <w:lang w:val="en-US"/>
        </w:rPr>
        <w:t>producer responsibility schemes</w:t>
      </w:r>
      <w:r w:rsidRPr="003010B0">
        <w:rPr>
          <w:rFonts w:asciiTheme="minorHAnsi" w:hAnsiTheme="minorHAnsi" w:cstheme="minorHAnsi"/>
          <w:sz w:val="24"/>
          <w:szCs w:val="24"/>
          <w:lang w:val="en-US"/>
        </w:rPr>
        <w:t xml:space="preserve">, </w:t>
      </w:r>
      <w:r w:rsidRPr="003010B0">
        <w:rPr>
          <w:rFonts w:asciiTheme="minorHAnsi" w:hAnsiTheme="minorHAnsi" w:cstheme="minorHAnsi"/>
          <w:b/>
          <w:bCs/>
          <w:sz w:val="24"/>
          <w:szCs w:val="24"/>
          <w:lang w:val="en-US"/>
        </w:rPr>
        <w:t>subsidies</w:t>
      </w:r>
      <w:r w:rsidRPr="003010B0">
        <w:rPr>
          <w:rFonts w:asciiTheme="minorHAnsi" w:hAnsiTheme="minorHAnsi" w:cstheme="minorHAnsi"/>
          <w:sz w:val="24"/>
          <w:szCs w:val="24"/>
          <w:lang w:val="en-US"/>
        </w:rPr>
        <w:t xml:space="preserve">, and </w:t>
      </w:r>
      <w:r w:rsidRPr="003010B0">
        <w:rPr>
          <w:rFonts w:asciiTheme="minorHAnsi" w:hAnsiTheme="minorHAnsi" w:cstheme="minorHAnsi"/>
          <w:b/>
          <w:bCs/>
          <w:sz w:val="24"/>
          <w:szCs w:val="24"/>
          <w:lang w:val="en-US"/>
        </w:rPr>
        <w:t>mandatory recycling targets</w:t>
      </w:r>
      <w:r w:rsidRPr="003010B0">
        <w:rPr>
          <w:rFonts w:asciiTheme="minorHAnsi" w:hAnsiTheme="minorHAnsi" w:cstheme="minorHAnsi"/>
          <w:sz w:val="24"/>
          <w:szCs w:val="24"/>
          <w:lang w:val="en-US"/>
        </w:rPr>
        <w:t xml:space="preserve"> as key tools for accelerating the transition. Finally, the role of </w:t>
      </w:r>
      <w:r w:rsidRPr="003010B0">
        <w:rPr>
          <w:rFonts w:asciiTheme="minorHAnsi" w:hAnsiTheme="minorHAnsi" w:cstheme="minorHAnsi"/>
          <w:b/>
          <w:bCs/>
          <w:sz w:val="24"/>
          <w:szCs w:val="24"/>
          <w:lang w:val="en-US"/>
        </w:rPr>
        <w:t>industrial infrastructure</w:t>
      </w:r>
      <w:r w:rsidRPr="003010B0">
        <w:rPr>
          <w:rFonts w:asciiTheme="minorHAnsi" w:hAnsiTheme="minorHAnsi" w:cstheme="minorHAnsi"/>
          <w:sz w:val="24"/>
          <w:szCs w:val="24"/>
          <w:lang w:val="en-US"/>
        </w:rPr>
        <w:t xml:space="preserve"> and new business models linking </w:t>
      </w:r>
      <w:r w:rsidRPr="003010B0">
        <w:rPr>
          <w:rFonts w:asciiTheme="minorHAnsi" w:hAnsiTheme="minorHAnsi" w:cstheme="minorHAnsi"/>
          <w:b/>
          <w:bCs/>
          <w:sz w:val="24"/>
          <w:szCs w:val="24"/>
          <w:lang w:val="en-US"/>
        </w:rPr>
        <w:t>waste collectors, chemical recyclers, and manufacturers</w:t>
      </w:r>
      <w:r w:rsidRPr="003010B0">
        <w:rPr>
          <w:rFonts w:asciiTheme="minorHAnsi" w:hAnsiTheme="minorHAnsi" w:cstheme="minorHAnsi"/>
          <w:sz w:val="24"/>
          <w:szCs w:val="24"/>
          <w:lang w:val="en-US"/>
        </w:rPr>
        <w:t xml:space="preserve"> was highlighted as critical to ensuring raw material availability, process efficiency, and market acceptance. Audience questions centered on </w:t>
      </w:r>
      <w:r w:rsidRPr="003010B0">
        <w:rPr>
          <w:rFonts w:asciiTheme="minorHAnsi" w:hAnsiTheme="minorHAnsi" w:cstheme="minorHAnsi"/>
          <w:b/>
          <w:bCs/>
          <w:sz w:val="24"/>
          <w:szCs w:val="24"/>
          <w:lang w:val="en-US"/>
        </w:rPr>
        <w:t>scaling technologies</w:t>
      </w:r>
      <w:r w:rsidRPr="003010B0">
        <w:rPr>
          <w:rFonts w:asciiTheme="minorHAnsi" w:hAnsiTheme="minorHAnsi" w:cstheme="minorHAnsi"/>
          <w:sz w:val="24"/>
          <w:szCs w:val="24"/>
          <w:lang w:val="en-US"/>
        </w:rPr>
        <w:t xml:space="preserve">, </w:t>
      </w:r>
      <w:r w:rsidRPr="003010B0">
        <w:rPr>
          <w:rFonts w:asciiTheme="minorHAnsi" w:hAnsiTheme="minorHAnsi" w:cstheme="minorHAnsi"/>
          <w:b/>
          <w:bCs/>
          <w:sz w:val="24"/>
          <w:szCs w:val="24"/>
          <w:lang w:val="en-US"/>
        </w:rPr>
        <w:t>the real-world impact of certifications</w:t>
      </w:r>
      <w:r w:rsidRPr="003010B0">
        <w:rPr>
          <w:rFonts w:asciiTheme="minorHAnsi" w:hAnsiTheme="minorHAnsi" w:cstheme="minorHAnsi"/>
          <w:sz w:val="24"/>
          <w:szCs w:val="24"/>
          <w:lang w:val="en-US"/>
        </w:rPr>
        <w:t xml:space="preserve">, and </w:t>
      </w:r>
      <w:r w:rsidRPr="003010B0">
        <w:rPr>
          <w:rFonts w:asciiTheme="minorHAnsi" w:hAnsiTheme="minorHAnsi" w:cstheme="minorHAnsi"/>
          <w:b/>
          <w:bCs/>
          <w:sz w:val="24"/>
          <w:szCs w:val="24"/>
          <w:lang w:val="en-US"/>
        </w:rPr>
        <w:t>the effectiveness of policy incentives</w:t>
      </w:r>
      <w:r w:rsidRPr="003010B0">
        <w:rPr>
          <w:rFonts w:asciiTheme="minorHAnsi" w:hAnsiTheme="minorHAnsi" w:cstheme="minorHAnsi"/>
          <w:sz w:val="24"/>
          <w:szCs w:val="24"/>
          <w:lang w:val="en-US"/>
        </w:rPr>
        <w:t xml:space="preserve"> in promoting a viable circular economy for composites.</w:t>
      </w:r>
    </w:p>
    <w:p w14:paraId="5E0B5344" w14:textId="0C7FE8F0" w:rsidR="00E43FB2" w:rsidRPr="00B367CE" w:rsidRDefault="00E43FB2" w:rsidP="00D91ED3">
      <w:pPr>
        <w:spacing w:before="0" w:after="160" w:line="259" w:lineRule="auto"/>
        <w:jc w:val="center"/>
        <w:rPr>
          <w:rFonts w:asciiTheme="minorHAnsi" w:hAnsiTheme="minorHAnsi" w:cstheme="minorHAnsi"/>
          <w:sz w:val="24"/>
          <w:szCs w:val="24"/>
          <w:lang w:val="en-US"/>
        </w:rPr>
      </w:pPr>
    </w:p>
    <w:sectPr w:rsidR="00E43FB2" w:rsidRPr="00B367CE" w:rsidSect="006B7BE6">
      <w:headerReference w:type="default" r:id="rId14"/>
      <w:footerReference w:type="default" r:id="rId15"/>
      <w:headerReference w:type="first" r:id="rId16"/>
      <w:footerReference w:type="first" r:id="rId17"/>
      <w:pgSz w:w="11906" w:h="16838"/>
      <w:pgMar w:top="1440" w:right="1440" w:bottom="1440" w:left="1440"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27BA2" w14:textId="77777777" w:rsidR="007A484B" w:rsidRDefault="007A484B" w:rsidP="00BE0FF3">
      <w:pPr>
        <w:spacing w:before="0"/>
      </w:pPr>
      <w:r>
        <w:separator/>
      </w:r>
    </w:p>
  </w:endnote>
  <w:endnote w:type="continuationSeparator" w:id="0">
    <w:p w14:paraId="4B2F2358" w14:textId="77777777" w:rsidR="007A484B" w:rsidRDefault="007A484B" w:rsidP="00BE0FF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44D7" w14:textId="77777777" w:rsidR="00EB5B9A" w:rsidRDefault="00EB5B9A" w:rsidP="00EB5B9A">
    <w:pPr>
      <w:pStyle w:val="Alatunniste"/>
      <w:rPr>
        <w:caps/>
        <w:color w:val="4472C4" w:themeColor="accent1"/>
      </w:rPr>
    </w:pPr>
  </w:p>
  <w:p w14:paraId="7FBD2BD8" w14:textId="620D6CB3" w:rsidR="00EB5B9A" w:rsidRPr="00096BD1" w:rsidRDefault="00096BD1" w:rsidP="00096BD1">
    <w:pPr>
      <w:rPr>
        <w:b/>
        <w:color w:val="A6A6A6" w:themeColor="background1" w:themeShade="A6"/>
        <w:sz w:val="20"/>
        <w:szCs w:val="20"/>
        <w:lang w:val="de-AT"/>
      </w:rPr>
    </w:pPr>
    <w:r>
      <w:rPr>
        <w:b/>
        <w:color w:val="A6A6A6" w:themeColor="background1" w:themeShade="A6"/>
        <w:sz w:val="20"/>
        <w:szCs w:val="20"/>
        <w:lang w:val="de-AT"/>
      </w:rPr>
      <w:t xml:space="preserve">        </w:t>
    </w:r>
    <w:r w:rsidR="00EB5B9A" w:rsidRPr="00096BD1">
      <w:rPr>
        <w:b/>
        <w:color w:val="A6A6A6" w:themeColor="background1" w:themeShade="A6"/>
        <w:sz w:val="20"/>
        <w:szCs w:val="20"/>
        <w:lang w:val="de-AT"/>
      </w:rPr>
      <w:t>interreg-baltic.eu/project/compositecircle</w:t>
    </w:r>
    <w:r w:rsidR="00EB5B9A" w:rsidRPr="00096BD1">
      <w:rPr>
        <w:b/>
        <w:color w:val="A6A6A6" w:themeColor="background1" w:themeShade="A6"/>
        <w:sz w:val="20"/>
        <w:szCs w:val="20"/>
        <w:lang w:val="de-AT"/>
      </w:rPr>
      <w:tab/>
      <w:t xml:space="preserve">   </w:t>
    </w:r>
    <w:r w:rsidR="00EB5B9A" w:rsidRPr="00096BD1">
      <w:rPr>
        <w:b/>
        <w:color w:val="A6A6A6" w:themeColor="background1" w:themeShade="A6"/>
        <w:sz w:val="20"/>
        <w:szCs w:val="20"/>
        <w:lang w:val="de-AT"/>
      </w:rPr>
      <w:tab/>
    </w:r>
    <w:r w:rsidR="00EB5B9A" w:rsidRPr="00096BD1">
      <w:rPr>
        <w:b/>
        <w:color w:val="A6A6A6" w:themeColor="background1" w:themeShade="A6"/>
        <w:sz w:val="20"/>
        <w:szCs w:val="20"/>
        <w:lang w:val="de-AT"/>
      </w:rPr>
      <w:tab/>
    </w:r>
    <w:r w:rsidR="00EB5B9A" w:rsidRPr="00096BD1">
      <w:rPr>
        <w:b/>
        <w:color w:val="A6A6A6" w:themeColor="background1" w:themeShade="A6"/>
        <w:sz w:val="20"/>
        <w:szCs w:val="20"/>
        <w:lang w:val="de-AT"/>
      </w:rPr>
      <w:tab/>
    </w:r>
    <w:r w:rsidR="00EB5B9A" w:rsidRPr="00096BD1">
      <w:rPr>
        <w:caps/>
        <w:color w:val="A6A6A6" w:themeColor="background1" w:themeShade="A6"/>
      </w:rPr>
      <w:fldChar w:fldCharType="begin"/>
    </w:r>
    <w:r w:rsidR="00EB5B9A" w:rsidRPr="00096BD1">
      <w:rPr>
        <w:caps/>
        <w:color w:val="A6A6A6" w:themeColor="background1" w:themeShade="A6"/>
      </w:rPr>
      <w:instrText xml:space="preserve"> PAGE   \* MERGEFORMAT </w:instrText>
    </w:r>
    <w:r w:rsidR="00EB5B9A" w:rsidRPr="00096BD1">
      <w:rPr>
        <w:caps/>
        <w:color w:val="A6A6A6" w:themeColor="background1" w:themeShade="A6"/>
      </w:rPr>
      <w:fldChar w:fldCharType="separate"/>
    </w:r>
    <w:r w:rsidR="00EB5B9A" w:rsidRPr="00096BD1">
      <w:rPr>
        <w:caps/>
        <w:noProof/>
        <w:color w:val="A6A6A6" w:themeColor="background1" w:themeShade="A6"/>
      </w:rPr>
      <w:t>2</w:t>
    </w:r>
    <w:r w:rsidR="00EB5B9A" w:rsidRPr="00096BD1">
      <w:rPr>
        <w:caps/>
        <w:noProof/>
        <w:color w:val="A6A6A6" w:themeColor="background1" w:themeShade="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F40F" w14:textId="32F6C107" w:rsidR="006B7BE6" w:rsidRDefault="006B7BE6">
    <w:pPr>
      <w:pStyle w:val="Alatunniste"/>
    </w:pPr>
    <w:r>
      <w:rPr>
        <w:noProof/>
      </w:rPr>
      <mc:AlternateContent>
        <mc:Choice Requires="wps">
          <w:drawing>
            <wp:anchor distT="0" distB="0" distL="114300" distR="114300" simplePos="0" relativeHeight="251659265" behindDoc="0" locked="0" layoutInCell="1" allowOverlap="1" wp14:anchorId="14DAD3E4" wp14:editId="05BC10E9">
              <wp:simplePos x="0" y="0"/>
              <wp:positionH relativeFrom="column">
                <wp:posOffset>-914400</wp:posOffset>
              </wp:positionH>
              <wp:positionV relativeFrom="paragraph">
                <wp:posOffset>-250190</wp:posOffset>
              </wp:positionV>
              <wp:extent cx="7563485" cy="895985"/>
              <wp:effectExtent l="0" t="0" r="0" b="0"/>
              <wp:wrapNone/>
              <wp:docPr id="34454073" name="Rectangle 4"/>
              <wp:cNvGraphicFramePr/>
              <a:graphic xmlns:a="http://schemas.openxmlformats.org/drawingml/2006/main">
                <a:graphicData uri="http://schemas.microsoft.com/office/word/2010/wordprocessingShape">
                  <wps:wsp>
                    <wps:cNvSpPr/>
                    <wps:spPr>
                      <a:xfrm>
                        <a:off x="0" y="0"/>
                        <a:ext cx="7563485" cy="895985"/>
                      </a:xfrm>
                      <a:prstGeom prst="rect">
                        <a:avLst/>
                      </a:prstGeom>
                      <a:solidFill>
                        <a:srgbClr val="5C806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63461" w14:textId="1A451174" w:rsidR="00000000" w:rsidRPr="00C753E1" w:rsidRDefault="00000000" w:rsidP="00C753E1">
                          <w:pPr>
                            <w:rPr>
                              <w:b/>
                              <w:color w:val="FFFFFF" w:themeColor="background1"/>
                              <w:sz w:val="20"/>
                              <w:szCs w:val="20"/>
                              <w:lang w:val="de-AT"/>
                            </w:rPr>
                          </w:pPr>
                          <w:r w:rsidRPr="00C753E1">
                            <w:rPr>
                              <w:b/>
                              <w:color w:val="FFFFFF" w:themeColor="background1"/>
                              <w:sz w:val="20"/>
                              <w:szCs w:val="20"/>
                              <w:lang w:val="de-AT"/>
                            </w:rPr>
                            <w:t xml:space="preserve">        </w:t>
                          </w:r>
                          <w:r w:rsidR="008A24CA">
                            <w:rPr>
                              <w:b/>
                              <w:color w:val="FFFFFF" w:themeColor="background1"/>
                              <w:sz w:val="20"/>
                              <w:szCs w:val="20"/>
                              <w:lang w:val="de-AT"/>
                            </w:rPr>
                            <w:tab/>
                          </w:r>
                          <w:r w:rsidRPr="00C753E1">
                            <w:rPr>
                              <w:b/>
                              <w:color w:val="FFFFFF" w:themeColor="background1"/>
                              <w:sz w:val="20"/>
                              <w:szCs w:val="20"/>
                              <w:lang w:val="de-AT"/>
                            </w:rPr>
                            <w:t>interreg-baltic.eu/project/compositecircle</w:t>
                          </w:r>
                        </w:p>
                        <w:p w14:paraId="1144438F" w14:textId="77777777" w:rsidR="00000000" w:rsidRPr="00C753E1" w:rsidRDefault="00000000" w:rsidP="00C753E1">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AD3E4" id="Rectangle 4" o:spid="_x0000_s1028" style="position:absolute;margin-left:-1in;margin-top:-19.7pt;width:595.55pt;height:70.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" fillcolor="#5c8064" stroked="f" strokeweight="1pt">
              <v:textbox>
                <w:txbxContent>
                  <w:p w14:paraId="45F63461" w14:textId="1A451174" w:rsidR="00000000" w:rsidRPr="00C753E1" w:rsidRDefault="00000000" w:rsidP="00C753E1">
                    <w:pPr>
                      <w:rPr>
                        <w:b/>
                        <w:color w:val="FFFFFF" w:themeColor="background1"/>
                        <w:sz w:val="20"/>
                        <w:szCs w:val="20"/>
                        <w:lang w:val="de-AT"/>
                      </w:rPr>
                    </w:pPr>
                    <w:r w:rsidRPr="00C753E1">
                      <w:rPr>
                        <w:b/>
                        <w:color w:val="FFFFFF" w:themeColor="background1"/>
                        <w:sz w:val="20"/>
                        <w:szCs w:val="20"/>
                        <w:lang w:val="de-AT"/>
                      </w:rPr>
                      <w:t xml:space="preserve">        </w:t>
                    </w:r>
                    <w:r w:rsidR="008A24CA">
                      <w:rPr>
                        <w:b/>
                        <w:color w:val="FFFFFF" w:themeColor="background1"/>
                        <w:sz w:val="20"/>
                        <w:szCs w:val="20"/>
                        <w:lang w:val="de-AT"/>
                      </w:rPr>
                      <w:tab/>
                    </w:r>
                    <w:r w:rsidRPr="00C753E1">
                      <w:rPr>
                        <w:b/>
                        <w:color w:val="FFFFFF" w:themeColor="background1"/>
                        <w:sz w:val="20"/>
                        <w:szCs w:val="20"/>
                        <w:lang w:val="de-AT"/>
                      </w:rPr>
                      <w:t>interreg-baltic.eu/project/compositecircle</w:t>
                    </w:r>
                  </w:p>
                  <w:p w14:paraId="1144438F" w14:textId="77777777" w:rsidR="00000000" w:rsidRPr="00C753E1" w:rsidRDefault="00000000" w:rsidP="00C753E1">
                    <w:pPr>
                      <w:jc w:val="center"/>
                      <w:rPr>
                        <w:lang w:val="de-AT"/>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55DF0" w14:textId="77777777" w:rsidR="007A484B" w:rsidRDefault="007A484B" w:rsidP="00BE0FF3">
      <w:pPr>
        <w:spacing w:before="0"/>
      </w:pPr>
      <w:r>
        <w:separator/>
      </w:r>
    </w:p>
  </w:footnote>
  <w:footnote w:type="continuationSeparator" w:id="0">
    <w:p w14:paraId="73D103F1" w14:textId="77777777" w:rsidR="007A484B" w:rsidRDefault="007A484B" w:rsidP="00BE0FF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color w:val="808080" w:themeColor="background1" w:themeShade="80"/>
        <w:sz w:val="20"/>
        <w:szCs w:val="20"/>
      </w:rPr>
      <w:alias w:val="Author"/>
      <w:tag w:val=""/>
      <w:id w:val="-1701008461"/>
      <w:placeholder>
        <w:docPart w:val="1D0BC001F1834EE0A8AD8FD1BD6C3E6E"/>
      </w:placeholder>
      <w:dataBinding w:prefixMappings="xmlns:ns0='http://purl.org/dc/elements/1.1/' xmlns:ns1='http://schemas.openxmlformats.org/package/2006/metadata/core-properties' " w:xpath="/ns1:coreProperties[1]/ns0:creator[1]" w:storeItemID="{6C3C8BC8-F283-45AE-878A-BAB7291924A1}"/>
      <w:text/>
    </w:sdtPr>
    <w:sdtContent>
      <w:p w14:paraId="582DD1D9" w14:textId="2F69A68D" w:rsidR="00EB5B9A" w:rsidRPr="00096BD1" w:rsidRDefault="00EB5B9A">
        <w:pPr>
          <w:pStyle w:val="Yltunniste"/>
          <w:jc w:val="right"/>
          <w:rPr>
            <w:caps/>
            <w:color w:val="808080" w:themeColor="background1" w:themeShade="80"/>
            <w:sz w:val="20"/>
            <w:szCs w:val="20"/>
          </w:rPr>
        </w:pPr>
        <w:r w:rsidRPr="00096BD1">
          <w:rPr>
            <w:caps/>
            <w:color w:val="808080" w:themeColor="background1" w:themeShade="80"/>
            <w:sz w:val="20"/>
            <w:szCs w:val="20"/>
          </w:rPr>
          <w:t>Author name</w:t>
        </w:r>
      </w:p>
    </w:sdtContent>
  </w:sdt>
  <w:sdt>
    <w:sdtPr>
      <w:rPr>
        <w:caps/>
        <w:color w:val="808080" w:themeColor="background1" w:themeShade="80"/>
        <w:sz w:val="20"/>
        <w:szCs w:val="20"/>
      </w:rPr>
      <w:alias w:val="Date"/>
      <w:tag w:val="Date"/>
      <w:id w:val="-304078227"/>
      <w:placeholder>
        <w:docPart w:val="F01D9A38895F4729889673F1CB546006"/>
      </w:placeholder>
      <w:showingPlcHdr/>
      <w:dataBinding w:prefixMappings="xmlns:ns0='http://schemas.microsoft.com/office/2006/coverPageProps' " w:xpath="/ns0:CoverPageProperties[1]/ns0:PublishDate[1]" w:storeItemID="{55AF091B-3C7A-41E3-B477-F2FDAA23CFDA}"/>
      <w:date w:fullDate="2012-06-20T00:00:00Z">
        <w:dateFormat w:val="M/d/yy"/>
        <w:lid w:val="en-US"/>
        <w:storeMappedDataAs w:val="dateTime"/>
        <w:calendar w:val="gregorian"/>
      </w:date>
    </w:sdtPr>
    <w:sdtContent>
      <w:p w14:paraId="70D84407" w14:textId="55E79BC5" w:rsidR="00EB5B9A" w:rsidRPr="00096BD1" w:rsidRDefault="00EB5B9A">
        <w:pPr>
          <w:pStyle w:val="Yltunniste"/>
          <w:jc w:val="right"/>
          <w:rPr>
            <w:caps/>
            <w:color w:val="808080" w:themeColor="background1" w:themeShade="80"/>
            <w:sz w:val="20"/>
            <w:szCs w:val="20"/>
          </w:rPr>
        </w:pPr>
        <w:r w:rsidRPr="00096BD1">
          <w:rPr>
            <w:rStyle w:val="Paikkamerkkiteksti"/>
            <w:color w:val="808080" w:themeColor="background1" w:themeShade="80"/>
          </w:rPr>
          <w:t>[Date]</w:t>
        </w:r>
      </w:p>
    </w:sdtContent>
  </w:sdt>
  <w:p w14:paraId="2AE4598B" w14:textId="77777777" w:rsidR="00EB5B9A" w:rsidRPr="00096BD1" w:rsidRDefault="00EB5B9A">
    <w:pPr>
      <w:pStyle w:val="Yltunniste"/>
      <w:jc w:val="center"/>
      <w:rPr>
        <w:noProof/>
        <w:color w:val="808080" w:themeColor="background1" w:themeShade="80"/>
        <w14:ligatures w14:val="standardContextual"/>
      </w:rPr>
    </w:pPr>
  </w:p>
  <w:p w14:paraId="33B6A459" w14:textId="0EEB7B1C" w:rsidR="00EB5B9A" w:rsidRPr="00096BD1" w:rsidRDefault="00EB5B9A">
    <w:pPr>
      <w:pStyle w:val="Yltunniste"/>
      <w:jc w:val="center"/>
      <w:rPr>
        <w:color w:val="808080" w:themeColor="background1" w:themeShade="80"/>
        <w:sz w:val="20"/>
        <w:szCs w:val="20"/>
      </w:rPr>
    </w:pPr>
    <w:r w:rsidRPr="00096BD1">
      <w:rPr>
        <w:noProof/>
        <w:color w:val="808080" w:themeColor="background1" w:themeShade="80"/>
        <w14:ligatures w14:val="standardContextual"/>
      </w:rPr>
      <w:drawing>
        <wp:anchor distT="0" distB="0" distL="114300" distR="114300" simplePos="0" relativeHeight="251658240" behindDoc="1" locked="0" layoutInCell="1" allowOverlap="1" wp14:anchorId="7F144303" wp14:editId="3399A515">
          <wp:simplePos x="0" y="0"/>
          <wp:positionH relativeFrom="column">
            <wp:posOffset>-330200</wp:posOffset>
          </wp:positionH>
          <wp:positionV relativeFrom="paragraph">
            <wp:posOffset>-597535</wp:posOffset>
          </wp:positionV>
          <wp:extent cx="2152650" cy="910571"/>
          <wp:effectExtent l="0" t="0" r="0" b="4445"/>
          <wp:wrapNone/>
          <wp:docPr id="658816089" name="Picture 1" descr="A close-up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16089" name="Picture 1" descr="A close-up of a flag"/>
                  <pic:cNvPicPr/>
                </pic:nvPicPr>
                <pic:blipFill>
                  <a:blip r:embed="rId1">
                    <a:extLst>
                      <a:ext uri="{28A0092B-C50C-407E-A947-70E740481C1C}">
                        <a14:useLocalDpi xmlns:a14="http://schemas.microsoft.com/office/drawing/2010/main" val="0"/>
                      </a:ext>
                    </a:extLst>
                  </a:blip>
                  <a:stretch>
                    <a:fillRect/>
                  </a:stretch>
                </pic:blipFill>
                <pic:spPr>
                  <a:xfrm>
                    <a:off x="0" y="0"/>
                    <a:ext cx="2152650" cy="910571"/>
                  </a:xfrm>
                  <a:prstGeom prst="rect">
                    <a:avLst/>
                  </a:prstGeom>
                </pic:spPr>
              </pic:pic>
            </a:graphicData>
          </a:graphic>
          <wp14:sizeRelH relativeFrom="page">
            <wp14:pctWidth>0</wp14:pctWidth>
          </wp14:sizeRelH>
          <wp14:sizeRelV relativeFrom="page">
            <wp14:pctHeight>0</wp14:pctHeight>
          </wp14:sizeRelV>
        </wp:anchor>
      </w:drawing>
    </w:r>
    <w:sdt>
      <w:sdtPr>
        <w:rPr>
          <w:caps/>
          <w:color w:val="808080" w:themeColor="background1" w:themeShade="80"/>
          <w:sz w:val="20"/>
          <w:szCs w:val="20"/>
        </w:rPr>
        <w:alias w:val="Title"/>
        <w:tag w:val=""/>
        <w:id w:val="-484788024"/>
        <w:placeholder>
          <w:docPart w:val="58C5DB461ED846A1B2CAC0921D31DDF3"/>
        </w:placeholder>
        <w:showingPlcHd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096BD1">
          <w:rPr>
            <w:color w:val="808080" w:themeColor="background1" w:themeShade="80"/>
            <w:sz w:val="20"/>
            <w:szCs w:val="20"/>
          </w:rPr>
          <w:t>[Document title]</w:t>
        </w:r>
      </w:sdtContent>
    </w:sdt>
  </w:p>
  <w:p w14:paraId="476EB1E5" w14:textId="4CA30327" w:rsidR="00BE0FF3" w:rsidRDefault="00BE0FF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D1D4" w14:textId="200BDBCD" w:rsidR="006B7BE6" w:rsidRPr="006B7BE6" w:rsidRDefault="006B7BE6" w:rsidP="006B7BE6">
    <w:pPr>
      <w:pStyle w:val="Yltunniste"/>
    </w:pPr>
    <w:r>
      <w:rPr>
        <w:noProof/>
        <w14:ligatures w14:val="standardContextual"/>
      </w:rPr>
      <w:drawing>
        <wp:anchor distT="0" distB="0" distL="114300" distR="114300" simplePos="0" relativeHeight="251658241" behindDoc="0" locked="0" layoutInCell="1" allowOverlap="1" wp14:anchorId="01FC0EA9" wp14:editId="2288C6E7">
          <wp:simplePos x="0" y="0"/>
          <wp:positionH relativeFrom="margin">
            <wp:align>center</wp:align>
          </wp:positionH>
          <wp:positionV relativeFrom="paragraph">
            <wp:posOffset>-71120</wp:posOffset>
          </wp:positionV>
          <wp:extent cx="3377565" cy="1428750"/>
          <wp:effectExtent l="0" t="0" r="0" b="0"/>
          <wp:wrapTopAndBottom/>
          <wp:docPr id="1719213663" name="Picture 3" descr="A close-up of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3663" name="Picture 3" descr="A close-up of a flag"/>
                  <pic:cNvPicPr/>
                </pic:nvPicPr>
                <pic:blipFill>
                  <a:blip r:embed="rId1">
                    <a:extLst>
                      <a:ext uri="{28A0092B-C50C-407E-A947-70E740481C1C}">
                        <a14:useLocalDpi xmlns:a14="http://schemas.microsoft.com/office/drawing/2010/main" val="0"/>
                      </a:ext>
                    </a:extLst>
                  </a:blip>
                  <a:stretch>
                    <a:fillRect/>
                  </a:stretch>
                </pic:blipFill>
                <pic:spPr>
                  <a:xfrm>
                    <a:off x="0" y="0"/>
                    <a:ext cx="3377565" cy="1428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D16B9"/>
    <w:multiLevelType w:val="multilevel"/>
    <w:tmpl w:val="E22E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61009"/>
    <w:multiLevelType w:val="hybridMultilevel"/>
    <w:tmpl w:val="EA30CE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01A6689"/>
    <w:multiLevelType w:val="multilevel"/>
    <w:tmpl w:val="B9A0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55C2F"/>
    <w:multiLevelType w:val="multilevel"/>
    <w:tmpl w:val="701A090C"/>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9632D4D"/>
    <w:multiLevelType w:val="multilevel"/>
    <w:tmpl w:val="620A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15930"/>
    <w:multiLevelType w:val="hybridMultilevel"/>
    <w:tmpl w:val="A88A35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09527C7"/>
    <w:multiLevelType w:val="hybridMultilevel"/>
    <w:tmpl w:val="4454CBCA"/>
    <w:lvl w:ilvl="0" w:tplc="36EC886E">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6FF14CA"/>
    <w:multiLevelType w:val="hybridMultilevel"/>
    <w:tmpl w:val="B4C8CC78"/>
    <w:lvl w:ilvl="0" w:tplc="A8484B00">
      <w:start w:val="28"/>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3CB82BEC"/>
    <w:multiLevelType w:val="multilevel"/>
    <w:tmpl w:val="6536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8E4"/>
    <w:multiLevelType w:val="multilevel"/>
    <w:tmpl w:val="34B4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140C0"/>
    <w:multiLevelType w:val="multilevel"/>
    <w:tmpl w:val="77D2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4C0D26"/>
    <w:multiLevelType w:val="multilevel"/>
    <w:tmpl w:val="2144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E6B6C"/>
    <w:multiLevelType w:val="multilevel"/>
    <w:tmpl w:val="A96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767A4"/>
    <w:multiLevelType w:val="hybridMultilevel"/>
    <w:tmpl w:val="A62EC180"/>
    <w:lvl w:ilvl="0" w:tplc="511E4496">
      <w:start w:val="1"/>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7DC42D43"/>
    <w:multiLevelType w:val="hybridMultilevel"/>
    <w:tmpl w:val="012A0E68"/>
    <w:lvl w:ilvl="0" w:tplc="8D580EC6">
      <w:start w:val="28"/>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16cid:durableId="1961644633">
    <w:abstractNumId w:val="5"/>
  </w:num>
  <w:num w:numId="2" w16cid:durableId="559757306">
    <w:abstractNumId w:val="13"/>
  </w:num>
  <w:num w:numId="3" w16cid:durableId="685446100">
    <w:abstractNumId w:val="7"/>
  </w:num>
  <w:num w:numId="4" w16cid:durableId="1828092203">
    <w:abstractNumId w:val="14"/>
  </w:num>
  <w:num w:numId="5" w16cid:durableId="558134908">
    <w:abstractNumId w:val="2"/>
  </w:num>
  <w:num w:numId="6" w16cid:durableId="1869946756">
    <w:abstractNumId w:val="9"/>
  </w:num>
  <w:num w:numId="7" w16cid:durableId="1567493871">
    <w:abstractNumId w:val="8"/>
  </w:num>
  <w:num w:numId="8" w16cid:durableId="93676395">
    <w:abstractNumId w:val="4"/>
  </w:num>
  <w:num w:numId="9" w16cid:durableId="177355943">
    <w:abstractNumId w:val="11"/>
  </w:num>
  <w:num w:numId="10" w16cid:durableId="2024017553">
    <w:abstractNumId w:val="1"/>
  </w:num>
  <w:num w:numId="11" w16cid:durableId="1188762635">
    <w:abstractNumId w:val="3"/>
  </w:num>
  <w:num w:numId="12" w16cid:durableId="699209009">
    <w:abstractNumId w:val="6"/>
  </w:num>
  <w:num w:numId="13" w16cid:durableId="1895503391">
    <w:abstractNumId w:val="12"/>
  </w:num>
  <w:num w:numId="14" w16cid:durableId="1671561906">
    <w:abstractNumId w:val="10"/>
  </w:num>
  <w:num w:numId="15" w16cid:durableId="117213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F3"/>
    <w:rsid w:val="00002F60"/>
    <w:rsid w:val="00024F76"/>
    <w:rsid w:val="00032934"/>
    <w:rsid w:val="00087926"/>
    <w:rsid w:val="000922BB"/>
    <w:rsid w:val="00096BD1"/>
    <w:rsid w:val="000D67F8"/>
    <w:rsid w:val="000F6BF1"/>
    <w:rsid w:val="0011610D"/>
    <w:rsid w:val="00116FCC"/>
    <w:rsid w:val="0013375F"/>
    <w:rsid w:val="0014348E"/>
    <w:rsid w:val="001678BB"/>
    <w:rsid w:val="001A515B"/>
    <w:rsid w:val="001B2859"/>
    <w:rsid w:val="001B4049"/>
    <w:rsid w:val="002069FD"/>
    <w:rsid w:val="00235E30"/>
    <w:rsid w:val="00261558"/>
    <w:rsid w:val="002A22FE"/>
    <w:rsid w:val="0031152A"/>
    <w:rsid w:val="00394704"/>
    <w:rsid w:val="003960AA"/>
    <w:rsid w:val="003962DE"/>
    <w:rsid w:val="003A48AD"/>
    <w:rsid w:val="003D3C09"/>
    <w:rsid w:val="003D5E66"/>
    <w:rsid w:val="00424C82"/>
    <w:rsid w:val="00443922"/>
    <w:rsid w:val="00481885"/>
    <w:rsid w:val="00498DC5"/>
    <w:rsid w:val="004A74F8"/>
    <w:rsid w:val="004B5828"/>
    <w:rsid w:val="004C33D7"/>
    <w:rsid w:val="00576E8F"/>
    <w:rsid w:val="005C0A05"/>
    <w:rsid w:val="005D60F1"/>
    <w:rsid w:val="0060078F"/>
    <w:rsid w:val="006067EA"/>
    <w:rsid w:val="0063638C"/>
    <w:rsid w:val="00665696"/>
    <w:rsid w:val="006B7BE6"/>
    <w:rsid w:val="00730E8F"/>
    <w:rsid w:val="007A484B"/>
    <w:rsid w:val="007A78B1"/>
    <w:rsid w:val="007E2182"/>
    <w:rsid w:val="007E79AD"/>
    <w:rsid w:val="007F542C"/>
    <w:rsid w:val="00811147"/>
    <w:rsid w:val="00817E88"/>
    <w:rsid w:val="008A24CA"/>
    <w:rsid w:val="008B7301"/>
    <w:rsid w:val="008E3168"/>
    <w:rsid w:val="008E3AE1"/>
    <w:rsid w:val="00964277"/>
    <w:rsid w:val="00986F81"/>
    <w:rsid w:val="009E4B81"/>
    <w:rsid w:val="009F2956"/>
    <w:rsid w:val="00A2716E"/>
    <w:rsid w:val="00A27198"/>
    <w:rsid w:val="00AB503F"/>
    <w:rsid w:val="00AC3EB0"/>
    <w:rsid w:val="00AF3C4D"/>
    <w:rsid w:val="00B367CE"/>
    <w:rsid w:val="00B649D7"/>
    <w:rsid w:val="00B75EB8"/>
    <w:rsid w:val="00B95C9F"/>
    <w:rsid w:val="00BD0CAE"/>
    <w:rsid w:val="00BE0FF3"/>
    <w:rsid w:val="00BF0947"/>
    <w:rsid w:val="00C04122"/>
    <w:rsid w:val="00C163D4"/>
    <w:rsid w:val="00C65254"/>
    <w:rsid w:val="00C753E1"/>
    <w:rsid w:val="00C8389B"/>
    <w:rsid w:val="00C84427"/>
    <w:rsid w:val="00C95391"/>
    <w:rsid w:val="00CF4045"/>
    <w:rsid w:val="00D130EC"/>
    <w:rsid w:val="00D23779"/>
    <w:rsid w:val="00D91ED3"/>
    <w:rsid w:val="00DB1819"/>
    <w:rsid w:val="00E43FB2"/>
    <w:rsid w:val="00E9131F"/>
    <w:rsid w:val="00EA2F5E"/>
    <w:rsid w:val="00EA7B0E"/>
    <w:rsid w:val="00EB5B9A"/>
    <w:rsid w:val="00EC599B"/>
    <w:rsid w:val="00F264E0"/>
    <w:rsid w:val="00F72AD6"/>
    <w:rsid w:val="00FA2664"/>
    <w:rsid w:val="00FB4752"/>
    <w:rsid w:val="00FB7143"/>
    <w:rsid w:val="00FC66A5"/>
    <w:rsid w:val="00FD5B45"/>
    <w:rsid w:val="00FF3962"/>
    <w:rsid w:val="043CAF93"/>
    <w:rsid w:val="098B11C7"/>
    <w:rsid w:val="09E0A08F"/>
    <w:rsid w:val="0DAC8952"/>
    <w:rsid w:val="0FD7D1A9"/>
    <w:rsid w:val="1E88B5FA"/>
    <w:rsid w:val="1F9A2F15"/>
    <w:rsid w:val="208569C8"/>
    <w:rsid w:val="287D3961"/>
    <w:rsid w:val="301A3613"/>
    <w:rsid w:val="373A3BB3"/>
    <w:rsid w:val="39ACFCA9"/>
    <w:rsid w:val="42F665DF"/>
    <w:rsid w:val="4344E76F"/>
    <w:rsid w:val="49FF51A0"/>
    <w:rsid w:val="4E1DFB9B"/>
    <w:rsid w:val="4E2272F5"/>
    <w:rsid w:val="4F5E4BB9"/>
    <w:rsid w:val="554E91CC"/>
    <w:rsid w:val="5A4AF38E"/>
    <w:rsid w:val="5B806FC0"/>
    <w:rsid w:val="5BAAFD39"/>
    <w:rsid w:val="5BBE1BEE"/>
    <w:rsid w:val="62006FFD"/>
    <w:rsid w:val="6285D678"/>
    <w:rsid w:val="650F622A"/>
    <w:rsid w:val="6597998A"/>
    <w:rsid w:val="6E5389A5"/>
    <w:rsid w:val="7A9F8063"/>
    <w:rsid w:val="7AF59A8E"/>
    <w:rsid w:val="7BEC27B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AB1FD"/>
  <w15:chartTrackingRefBased/>
  <w15:docId w15:val="{DEA741F2-2FEB-4635-821E-F919506D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BE0FF3"/>
    <w:pPr>
      <w:spacing w:before="80" w:after="0" w:line="240" w:lineRule="auto"/>
    </w:pPr>
    <w:rPr>
      <w:rFonts w:ascii="Calibri" w:eastAsia="Calibri" w:hAnsi="Calibri" w:cs="Times New Roman"/>
      <w:kern w:val="0"/>
      <w:lang w:val="en-GB"/>
      <w14:ligatures w14:val="none"/>
    </w:rPr>
  </w:style>
  <w:style w:type="paragraph" w:styleId="Otsikko1">
    <w:name w:val="heading 1"/>
    <w:next w:val="Normaali"/>
    <w:link w:val="Otsikko1Char"/>
    <w:uiPriority w:val="9"/>
    <w:qFormat/>
    <w:rsid w:val="00C753E1"/>
    <w:pPr>
      <w:adjustRightInd w:val="0"/>
      <w:snapToGrid w:val="0"/>
      <w:spacing w:before="360" w:after="120" w:line="240" w:lineRule="atLeast"/>
      <w:outlineLvl w:val="0"/>
    </w:pPr>
    <w:rPr>
      <w:rFonts w:eastAsiaTheme="minorEastAsia" w:cs="Calibri-Bold"/>
      <w:b/>
      <w:bCs/>
      <w:color w:val="5C8064"/>
      <w:kern w:val="0"/>
      <w:sz w:val="40"/>
      <w:szCs w:val="40"/>
      <w:lang w:val="en-IE" w:eastAsia="zh-CN"/>
      <w14:ligatures w14:val="none"/>
    </w:rPr>
  </w:style>
  <w:style w:type="paragraph" w:styleId="Otsikko2">
    <w:name w:val="heading 2"/>
    <w:basedOn w:val="Otsikko1"/>
    <w:next w:val="Normaali"/>
    <w:link w:val="Otsikko2Char"/>
    <w:uiPriority w:val="9"/>
    <w:unhideWhenUsed/>
    <w:qFormat/>
    <w:rsid w:val="003962DE"/>
    <w:pPr>
      <w:spacing w:before="240"/>
      <w:outlineLvl w:val="1"/>
    </w:pPr>
    <w:rPr>
      <w:sz w:val="32"/>
    </w:rPr>
  </w:style>
  <w:style w:type="paragraph" w:styleId="Otsikko3">
    <w:name w:val="heading 3"/>
    <w:basedOn w:val="Otsikko2"/>
    <w:next w:val="Normaali"/>
    <w:link w:val="Otsikko3Char"/>
    <w:uiPriority w:val="9"/>
    <w:unhideWhenUsed/>
    <w:qFormat/>
    <w:rsid w:val="00AC3EB0"/>
    <w:pPr>
      <w:outlineLvl w:val="2"/>
    </w:pPr>
    <w:rPr>
      <w:sz w:val="24"/>
      <w:szCs w:val="24"/>
    </w:rPr>
  </w:style>
  <w:style w:type="paragraph" w:styleId="Otsikko4">
    <w:name w:val="heading 4"/>
    <w:basedOn w:val="Otsikko2"/>
    <w:next w:val="Normaali"/>
    <w:link w:val="Otsikko4Char"/>
    <w:uiPriority w:val="9"/>
    <w:unhideWhenUsed/>
    <w:qFormat/>
    <w:rsid w:val="00AC3EB0"/>
    <w:pPr>
      <w:outlineLvl w:val="3"/>
    </w:pPr>
    <w:rPr>
      <w:b w:val="0"/>
      <w:bCs w:val="0"/>
      <w:sz w:val="24"/>
      <w:szCs w:val="24"/>
    </w:rPr>
  </w:style>
  <w:style w:type="paragraph" w:styleId="Otsikko5">
    <w:name w:val="heading 5"/>
    <w:basedOn w:val="Normaali"/>
    <w:next w:val="Normaali"/>
    <w:link w:val="Otsikko5Char"/>
    <w:uiPriority w:val="9"/>
    <w:unhideWhenUsed/>
    <w:qFormat/>
    <w:rsid w:val="003960AA"/>
    <w:pPr>
      <w:keepNext/>
      <w:keepLines/>
      <w:spacing w:before="40"/>
      <w:outlineLvl w:val="4"/>
    </w:pPr>
    <w:rPr>
      <w:rFonts w:asciiTheme="majorHAnsi" w:eastAsiaTheme="majorEastAsia" w:hAnsiTheme="majorHAnsi" w:cstheme="majorBidi"/>
      <w:b/>
      <w:color w:val="5C8064"/>
    </w:rPr>
  </w:style>
  <w:style w:type="paragraph" w:styleId="Otsikko6">
    <w:name w:val="heading 6"/>
    <w:basedOn w:val="Normaali"/>
    <w:next w:val="Normaali"/>
    <w:link w:val="Otsikko6Char"/>
    <w:uiPriority w:val="9"/>
    <w:semiHidden/>
    <w:unhideWhenUsed/>
    <w:qFormat/>
    <w:rsid w:val="003960AA"/>
    <w:pPr>
      <w:keepNext/>
      <w:keepLines/>
      <w:spacing w:before="40"/>
      <w:outlineLvl w:val="5"/>
    </w:pPr>
    <w:rPr>
      <w:rFonts w:asciiTheme="majorHAnsi" w:eastAsiaTheme="majorEastAsia" w:hAnsiTheme="majorHAnsi" w:cstheme="majorBidi"/>
      <w:color w:val="5C806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C753E1"/>
    <w:rPr>
      <w:rFonts w:eastAsiaTheme="minorEastAsia" w:cs="Calibri-Bold"/>
      <w:b/>
      <w:bCs/>
      <w:color w:val="5C8064"/>
      <w:kern w:val="0"/>
      <w:sz w:val="40"/>
      <w:szCs w:val="40"/>
      <w:lang w:val="en-IE" w:eastAsia="zh-CN"/>
      <w14:ligatures w14:val="none"/>
    </w:rPr>
  </w:style>
  <w:style w:type="character" w:customStyle="1" w:styleId="Otsikko2Char">
    <w:name w:val="Otsikko 2 Char"/>
    <w:basedOn w:val="Kappaleenoletusfontti"/>
    <w:link w:val="Otsikko2"/>
    <w:uiPriority w:val="9"/>
    <w:rsid w:val="003962DE"/>
    <w:rPr>
      <w:rFonts w:eastAsiaTheme="minorEastAsia" w:cs="Calibri-Bold"/>
      <w:b/>
      <w:bCs/>
      <w:color w:val="5C8064"/>
      <w:kern w:val="0"/>
      <w:sz w:val="32"/>
      <w:szCs w:val="40"/>
      <w:lang w:val="en-IE" w:eastAsia="zh-CN"/>
      <w14:ligatures w14:val="none"/>
    </w:rPr>
  </w:style>
  <w:style w:type="character" w:customStyle="1" w:styleId="Otsikko3Char">
    <w:name w:val="Otsikko 3 Char"/>
    <w:basedOn w:val="Kappaleenoletusfontti"/>
    <w:link w:val="Otsikko3"/>
    <w:uiPriority w:val="9"/>
    <w:rsid w:val="00AC3EB0"/>
    <w:rPr>
      <w:rFonts w:ascii="Calibri" w:eastAsia="Calibri" w:hAnsi="Calibri" w:cs="Times New Roman"/>
      <w:b/>
      <w:color w:val="5C8064"/>
      <w:kern w:val="0"/>
      <w:sz w:val="24"/>
      <w:szCs w:val="24"/>
      <w:lang w:val="en-GB"/>
      <w14:ligatures w14:val="none"/>
    </w:rPr>
  </w:style>
  <w:style w:type="character" w:customStyle="1" w:styleId="Otsikko4Char">
    <w:name w:val="Otsikko 4 Char"/>
    <w:basedOn w:val="Kappaleenoletusfontti"/>
    <w:link w:val="Otsikko4"/>
    <w:uiPriority w:val="9"/>
    <w:rsid w:val="00AC3EB0"/>
    <w:rPr>
      <w:rFonts w:ascii="Calibri" w:eastAsia="Calibri" w:hAnsi="Calibri" w:cs="Times New Roman"/>
      <w:bCs/>
      <w:color w:val="5C8064"/>
      <w:kern w:val="0"/>
      <w:sz w:val="24"/>
      <w:szCs w:val="24"/>
      <w:lang w:val="en-GB"/>
      <w14:ligatures w14:val="none"/>
    </w:rPr>
  </w:style>
  <w:style w:type="character" w:customStyle="1" w:styleId="Otsikko5Char">
    <w:name w:val="Otsikko 5 Char"/>
    <w:basedOn w:val="Kappaleenoletusfontti"/>
    <w:link w:val="Otsikko5"/>
    <w:uiPriority w:val="9"/>
    <w:rsid w:val="003960AA"/>
    <w:rPr>
      <w:rFonts w:asciiTheme="majorHAnsi" w:eastAsiaTheme="majorEastAsia" w:hAnsiTheme="majorHAnsi" w:cstheme="majorBidi"/>
      <w:b/>
      <w:color w:val="5C8064"/>
      <w:kern w:val="0"/>
      <w:lang w:val="en-GB"/>
      <w14:ligatures w14:val="none"/>
    </w:rPr>
  </w:style>
  <w:style w:type="paragraph" w:customStyle="1" w:styleId="StandardText">
    <w:name w:val="Standard Text"/>
    <w:basedOn w:val="Normaali"/>
    <w:link w:val="StandardTextZchn"/>
    <w:qFormat/>
    <w:rsid w:val="00AC3EB0"/>
    <w:pPr>
      <w:spacing w:before="120" w:after="240" w:line="320" w:lineRule="exact"/>
      <w:jc w:val="both"/>
    </w:pPr>
    <w:rPr>
      <w:color w:val="000000" w:themeColor="text1"/>
      <w:sz w:val="24"/>
      <w:szCs w:val="24"/>
    </w:rPr>
  </w:style>
  <w:style w:type="character" w:customStyle="1" w:styleId="StandardTextZchn">
    <w:name w:val="Standard Text Zchn"/>
    <w:link w:val="StandardText"/>
    <w:rsid w:val="00AC3EB0"/>
    <w:rPr>
      <w:rFonts w:ascii="Calibri" w:eastAsia="Calibri" w:hAnsi="Calibri" w:cs="Times New Roman"/>
      <w:color w:val="000000" w:themeColor="text1"/>
      <w:kern w:val="0"/>
      <w:sz w:val="24"/>
      <w:szCs w:val="24"/>
      <w:lang w:val="en-GB"/>
      <w14:ligatures w14:val="none"/>
    </w:rPr>
  </w:style>
  <w:style w:type="paragraph" w:customStyle="1" w:styleId="1Headline">
    <w:name w:val="1.Headline"/>
    <w:basedOn w:val="Luettelokappale"/>
    <w:link w:val="1HeadlineZchn"/>
    <w:rsid w:val="00BE0FF3"/>
    <w:pPr>
      <w:spacing w:before="0" w:after="120" w:line="300" w:lineRule="exact"/>
      <w:ind w:left="0"/>
    </w:pPr>
    <w:rPr>
      <w:b/>
      <w:color w:val="E7E6E6" w:themeColor="background2"/>
      <w:sz w:val="28"/>
      <w:szCs w:val="28"/>
    </w:rPr>
  </w:style>
  <w:style w:type="character" w:customStyle="1" w:styleId="1HeadlineZchn">
    <w:name w:val="1.Headline Zchn"/>
    <w:link w:val="1Headline"/>
    <w:rsid w:val="00BE0FF3"/>
    <w:rPr>
      <w:rFonts w:ascii="Calibri" w:eastAsia="Calibri" w:hAnsi="Calibri" w:cs="Times New Roman"/>
      <w:b/>
      <w:color w:val="E7E6E6" w:themeColor="background2"/>
      <w:kern w:val="0"/>
      <w:sz w:val="28"/>
      <w:szCs w:val="28"/>
      <w:lang w:val="en-GB"/>
      <w14:ligatures w14:val="none"/>
    </w:rPr>
  </w:style>
  <w:style w:type="paragraph" w:styleId="Otsikko">
    <w:name w:val="Title"/>
    <w:basedOn w:val="Normaali"/>
    <w:next w:val="Normaali"/>
    <w:link w:val="OtsikkoChar"/>
    <w:uiPriority w:val="10"/>
    <w:qFormat/>
    <w:rsid w:val="006B7BE6"/>
    <w:pPr>
      <w:spacing w:before="0"/>
      <w:contextualSpacing/>
      <w:jc w:val="center"/>
    </w:pPr>
    <w:rPr>
      <w:rFonts w:asciiTheme="minorHAnsi" w:eastAsiaTheme="majorEastAsia" w:hAnsiTheme="minorHAnsi" w:cstheme="majorBidi"/>
      <w:b/>
      <w:color w:val="5C8064"/>
      <w:spacing w:val="-10"/>
      <w:kern w:val="28"/>
      <w:sz w:val="72"/>
      <w:szCs w:val="56"/>
    </w:rPr>
  </w:style>
  <w:style w:type="character" w:customStyle="1" w:styleId="OtsikkoChar">
    <w:name w:val="Otsikko Char"/>
    <w:basedOn w:val="Kappaleenoletusfontti"/>
    <w:link w:val="Otsikko"/>
    <w:uiPriority w:val="10"/>
    <w:rsid w:val="006B7BE6"/>
    <w:rPr>
      <w:rFonts w:eastAsiaTheme="majorEastAsia" w:cstheme="majorBidi"/>
      <w:b/>
      <w:color w:val="5C8064"/>
      <w:spacing w:val="-10"/>
      <w:kern w:val="28"/>
      <w:sz w:val="72"/>
      <w:szCs w:val="56"/>
      <w:lang w:val="en-GB"/>
      <w14:ligatures w14:val="none"/>
    </w:rPr>
  </w:style>
  <w:style w:type="paragraph" w:styleId="Luettelokappale">
    <w:name w:val="List Paragraph"/>
    <w:basedOn w:val="Normaali"/>
    <w:uiPriority w:val="34"/>
    <w:rsid w:val="00BE0FF3"/>
    <w:pPr>
      <w:ind w:left="720"/>
      <w:contextualSpacing/>
    </w:pPr>
  </w:style>
  <w:style w:type="paragraph" w:styleId="Yltunniste">
    <w:name w:val="header"/>
    <w:basedOn w:val="Normaali"/>
    <w:link w:val="YltunnisteChar"/>
    <w:uiPriority w:val="99"/>
    <w:unhideWhenUsed/>
    <w:rsid w:val="00BE0FF3"/>
    <w:pPr>
      <w:tabs>
        <w:tab w:val="center" w:pos="4513"/>
        <w:tab w:val="right" w:pos="9026"/>
      </w:tabs>
      <w:spacing w:before="0"/>
    </w:pPr>
  </w:style>
  <w:style w:type="character" w:customStyle="1" w:styleId="YltunnisteChar">
    <w:name w:val="Ylätunniste Char"/>
    <w:basedOn w:val="Kappaleenoletusfontti"/>
    <w:link w:val="Yltunniste"/>
    <w:uiPriority w:val="99"/>
    <w:rsid w:val="00BE0FF3"/>
    <w:rPr>
      <w:rFonts w:ascii="Calibri" w:eastAsia="Calibri" w:hAnsi="Calibri" w:cs="Times New Roman"/>
      <w:kern w:val="0"/>
      <w:lang w:val="en-GB"/>
      <w14:ligatures w14:val="none"/>
    </w:rPr>
  </w:style>
  <w:style w:type="paragraph" w:styleId="Alatunniste">
    <w:name w:val="footer"/>
    <w:basedOn w:val="Normaali"/>
    <w:link w:val="AlatunnisteChar"/>
    <w:uiPriority w:val="99"/>
    <w:unhideWhenUsed/>
    <w:rsid w:val="00BE0FF3"/>
    <w:pPr>
      <w:tabs>
        <w:tab w:val="center" w:pos="4513"/>
        <w:tab w:val="right" w:pos="9026"/>
      </w:tabs>
      <w:spacing w:before="0"/>
    </w:pPr>
  </w:style>
  <w:style w:type="character" w:customStyle="1" w:styleId="AlatunnisteChar">
    <w:name w:val="Alatunniste Char"/>
    <w:basedOn w:val="Kappaleenoletusfontti"/>
    <w:link w:val="Alatunniste"/>
    <w:uiPriority w:val="99"/>
    <w:rsid w:val="00BE0FF3"/>
    <w:rPr>
      <w:rFonts w:ascii="Calibri" w:eastAsia="Calibri" w:hAnsi="Calibri" w:cs="Times New Roman"/>
      <w:kern w:val="0"/>
      <w:lang w:val="en-GB"/>
      <w14:ligatures w14:val="none"/>
    </w:rPr>
  </w:style>
  <w:style w:type="character" w:styleId="Paikkamerkkiteksti">
    <w:name w:val="Placeholder Text"/>
    <w:basedOn w:val="Kappaleenoletusfontti"/>
    <w:uiPriority w:val="99"/>
    <w:semiHidden/>
    <w:rsid w:val="00EB5B9A"/>
    <w:rPr>
      <w:color w:val="808080"/>
    </w:rPr>
  </w:style>
  <w:style w:type="character" w:customStyle="1" w:styleId="Otsikko6Char">
    <w:name w:val="Otsikko 6 Char"/>
    <w:basedOn w:val="Kappaleenoletusfontti"/>
    <w:link w:val="Otsikko6"/>
    <w:uiPriority w:val="9"/>
    <w:semiHidden/>
    <w:rsid w:val="003960AA"/>
    <w:rPr>
      <w:rFonts w:asciiTheme="majorHAnsi" w:eastAsiaTheme="majorEastAsia" w:hAnsiTheme="majorHAnsi" w:cstheme="majorBidi"/>
      <w:color w:val="5C8064"/>
      <w:kern w:val="0"/>
      <w:lang w:val="en-GB"/>
      <w14:ligatures w14:val="none"/>
    </w:rPr>
  </w:style>
  <w:style w:type="paragraph" w:styleId="Eivli">
    <w:name w:val="No Spacing"/>
    <w:uiPriority w:val="1"/>
    <w:qFormat/>
    <w:rsid w:val="003960AA"/>
    <w:pPr>
      <w:spacing w:after="0" w:line="240" w:lineRule="auto"/>
    </w:pPr>
    <w:rPr>
      <w:rFonts w:ascii="Calibri" w:eastAsia="Calibri" w:hAnsi="Calibri" w:cs="Times New Roman"/>
      <w:kern w:val="0"/>
      <w:lang w:val="en-GB"/>
      <w14:ligatures w14:val="none"/>
    </w:rPr>
  </w:style>
  <w:style w:type="character" w:styleId="Hienovarainenkorostus">
    <w:name w:val="Subtle Emphasis"/>
    <w:basedOn w:val="Kappaleenoletusfontti"/>
    <w:uiPriority w:val="19"/>
    <w:rsid w:val="003960AA"/>
    <w:rPr>
      <w:i/>
      <w:iCs/>
      <w:color w:val="404040" w:themeColor="text1" w:themeTint="BF"/>
    </w:rPr>
  </w:style>
  <w:style w:type="character" w:styleId="Korostus">
    <w:name w:val="Emphasis"/>
    <w:basedOn w:val="Kappaleenoletusfontti"/>
    <w:uiPriority w:val="20"/>
    <w:rsid w:val="003960AA"/>
    <w:rPr>
      <w:i/>
      <w:iCs/>
    </w:rPr>
  </w:style>
  <w:style w:type="paragraph" w:styleId="Alaotsikko">
    <w:name w:val="Subtitle"/>
    <w:basedOn w:val="Normaali"/>
    <w:next w:val="Normaali"/>
    <w:link w:val="AlaotsikkoChar"/>
    <w:uiPriority w:val="11"/>
    <w:rsid w:val="003960A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aotsikkoChar">
    <w:name w:val="Alaotsikko Char"/>
    <w:basedOn w:val="Kappaleenoletusfontti"/>
    <w:link w:val="Alaotsikko"/>
    <w:uiPriority w:val="11"/>
    <w:rsid w:val="003960AA"/>
    <w:rPr>
      <w:rFonts w:eastAsiaTheme="minorEastAsia"/>
      <w:color w:val="5A5A5A" w:themeColor="text1" w:themeTint="A5"/>
      <w:spacing w:val="15"/>
      <w:kern w:val="0"/>
      <w:lang w:val="en-GB"/>
      <w14:ligatures w14:val="none"/>
    </w:rPr>
  </w:style>
  <w:style w:type="character" w:styleId="Erottuvaviittaus">
    <w:name w:val="Intense Reference"/>
    <w:basedOn w:val="Kappaleenoletusfontti"/>
    <w:uiPriority w:val="32"/>
    <w:rsid w:val="003960AA"/>
    <w:rPr>
      <w:b/>
      <w:bCs/>
      <w:smallCaps/>
      <w:color w:val="5C8064"/>
      <w:spacing w:val="5"/>
    </w:rPr>
  </w:style>
  <w:style w:type="paragraph" w:styleId="Erottuvalainaus">
    <w:name w:val="Intense Quote"/>
    <w:basedOn w:val="Normaali"/>
    <w:next w:val="Normaali"/>
    <w:link w:val="ErottuvalainausChar"/>
    <w:uiPriority w:val="30"/>
    <w:rsid w:val="003960AA"/>
    <w:pPr>
      <w:pBdr>
        <w:top w:val="single" w:sz="4" w:space="10" w:color="4472C4" w:themeColor="accent1"/>
        <w:bottom w:val="single" w:sz="4" w:space="10" w:color="4472C4" w:themeColor="accent1"/>
      </w:pBdr>
      <w:spacing w:before="360" w:after="360"/>
      <w:ind w:left="864" w:right="864"/>
      <w:jc w:val="center"/>
    </w:pPr>
    <w:rPr>
      <w:i/>
      <w:iCs/>
      <w:color w:val="5C8064"/>
    </w:rPr>
  </w:style>
  <w:style w:type="character" w:customStyle="1" w:styleId="ErottuvalainausChar">
    <w:name w:val="Erottuva lainaus Char"/>
    <w:basedOn w:val="Kappaleenoletusfontti"/>
    <w:link w:val="Erottuvalainaus"/>
    <w:uiPriority w:val="30"/>
    <w:rsid w:val="003960AA"/>
    <w:rPr>
      <w:rFonts w:ascii="Calibri" w:eastAsia="Calibri" w:hAnsi="Calibri" w:cs="Times New Roman"/>
      <w:i/>
      <w:iCs/>
      <w:color w:val="5C8064"/>
      <w:kern w:val="0"/>
      <w:lang w:val="en-GB"/>
      <w14:ligatures w14:val="none"/>
    </w:rPr>
  </w:style>
  <w:style w:type="character" w:styleId="Voimakaskorostus">
    <w:name w:val="Intense Emphasis"/>
    <w:basedOn w:val="Kappaleenoletusfontti"/>
    <w:uiPriority w:val="21"/>
    <w:rsid w:val="003960AA"/>
    <w:rPr>
      <w:i/>
      <w:iCs/>
      <w:color w:val="5C8064"/>
    </w:rPr>
  </w:style>
  <w:style w:type="character" w:styleId="Voimakas">
    <w:name w:val="Strong"/>
    <w:basedOn w:val="Kappaleenoletusfontti"/>
    <w:uiPriority w:val="22"/>
    <w:rsid w:val="00C95391"/>
    <w:rPr>
      <w:b/>
      <w:bCs/>
    </w:rPr>
  </w:style>
  <w:style w:type="paragraph" w:styleId="Lainaus">
    <w:name w:val="Quote"/>
    <w:basedOn w:val="Normaali"/>
    <w:next w:val="Normaali"/>
    <w:link w:val="LainausChar"/>
    <w:uiPriority w:val="29"/>
    <w:qFormat/>
    <w:rsid w:val="0063638C"/>
    <w:pPr>
      <w:spacing w:before="200" w:after="240"/>
      <w:ind w:left="862" w:right="862"/>
      <w:jc w:val="center"/>
    </w:pPr>
    <w:rPr>
      <w:i/>
      <w:iCs/>
      <w:color w:val="404040" w:themeColor="text1" w:themeTint="BF"/>
    </w:rPr>
  </w:style>
  <w:style w:type="character" w:customStyle="1" w:styleId="LainausChar">
    <w:name w:val="Lainaus Char"/>
    <w:basedOn w:val="Kappaleenoletusfontti"/>
    <w:link w:val="Lainaus"/>
    <w:uiPriority w:val="29"/>
    <w:rsid w:val="0063638C"/>
    <w:rPr>
      <w:rFonts w:ascii="Calibri" w:eastAsia="Calibri" w:hAnsi="Calibri" w:cs="Times New Roman"/>
      <w:i/>
      <w:iCs/>
      <w:color w:val="404040" w:themeColor="text1" w:themeTint="BF"/>
      <w:kern w:val="0"/>
      <w:lang w:val="en-GB"/>
      <w14:ligatures w14:val="none"/>
    </w:rPr>
  </w:style>
  <w:style w:type="table" w:styleId="TaulukkoRuudukko">
    <w:name w:val="Table Grid"/>
    <w:basedOn w:val="Normaalitaulukko"/>
    <w:uiPriority w:val="39"/>
    <w:rsid w:val="00096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14348E"/>
    <w:pPr>
      <w:spacing w:before="0" w:after="200"/>
    </w:pPr>
    <w:rPr>
      <w:i/>
      <w:iCs/>
      <w:color w:val="404040" w:themeColor="text1" w:themeTint="BF"/>
      <w:sz w:val="20"/>
      <w:szCs w:val="18"/>
    </w:rPr>
  </w:style>
  <w:style w:type="paragraph" w:styleId="Sisllysluettelonotsikko">
    <w:name w:val="TOC Heading"/>
    <w:basedOn w:val="Otsikko1"/>
    <w:next w:val="Normaali"/>
    <w:uiPriority w:val="39"/>
    <w:unhideWhenUsed/>
    <w:qFormat/>
    <w:rsid w:val="00C753E1"/>
    <w:pPr>
      <w:keepNext/>
      <w:keepLines/>
      <w:adjustRightInd/>
      <w:snapToGrid/>
      <w:spacing w:before="120" w:after="240" w:line="259" w:lineRule="auto"/>
      <w:outlineLvl w:val="9"/>
    </w:pPr>
    <w:rPr>
      <w:rFonts w:eastAsiaTheme="majorEastAsia" w:cstheme="majorBidi"/>
      <w:bCs w:val="0"/>
      <w:color w:val="000000" w:themeColor="text1"/>
      <w:sz w:val="32"/>
      <w:szCs w:val="32"/>
      <w:lang w:val="en-US" w:eastAsia="en-US"/>
    </w:rPr>
  </w:style>
  <w:style w:type="paragraph" w:styleId="Sisluet2">
    <w:name w:val="toc 2"/>
    <w:basedOn w:val="Normaali"/>
    <w:next w:val="Normaali"/>
    <w:autoRedefine/>
    <w:uiPriority w:val="39"/>
    <w:unhideWhenUsed/>
    <w:rsid w:val="00C753E1"/>
    <w:pPr>
      <w:spacing w:before="0" w:after="100" w:line="259" w:lineRule="auto"/>
      <w:ind w:left="220"/>
    </w:pPr>
    <w:rPr>
      <w:rFonts w:asciiTheme="minorHAnsi" w:eastAsiaTheme="minorEastAsia" w:hAnsiTheme="minorHAnsi"/>
      <w:lang w:val="en-US"/>
    </w:rPr>
  </w:style>
  <w:style w:type="paragraph" w:styleId="Sisluet1">
    <w:name w:val="toc 1"/>
    <w:basedOn w:val="Normaali"/>
    <w:next w:val="Normaali"/>
    <w:autoRedefine/>
    <w:uiPriority w:val="39"/>
    <w:unhideWhenUsed/>
    <w:rsid w:val="00C753E1"/>
    <w:pPr>
      <w:spacing w:before="0" w:after="100" w:line="259" w:lineRule="auto"/>
    </w:pPr>
    <w:rPr>
      <w:rFonts w:asciiTheme="minorHAnsi" w:eastAsiaTheme="minorEastAsia" w:hAnsiTheme="minorHAnsi"/>
      <w:lang w:val="en-US"/>
    </w:rPr>
  </w:style>
  <w:style w:type="paragraph" w:styleId="Sisluet3">
    <w:name w:val="toc 3"/>
    <w:basedOn w:val="Normaali"/>
    <w:next w:val="Normaali"/>
    <w:autoRedefine/>
    <w:uiPriority w:val="39"/>
    <w:unhideWhenUsed/>
    <w:rsid w:val="00C753E1"/>
    <w:pPr>
      <w:spacing w:before="0" w:after="100" w:line="259" w:lineRule="auto"/>
      <w:ind w:left="440"/>
    </w:pPr>
    <w:rPr>
      <w:rFonts w:asciiTheme="minorHAnsi" w:eastAsiaTheme="minorEastAsia" w:hAnsiTheme="minorHAnsi"/>
      <w:lang w:val="en-US"/>
    </w:rPr>
  </w:style>
  <w:style w:type="character" w:styleId="Hyperlinkki">
    <w:name w:val="Hyperlink"/>
    <w:basedOn w:val="Kappaleenoletusfontti"/>
    <w:uiPriority w:val="99"/>
    <w:unhideWhenUsed/>
    <w:rsid w:val="00C753E1"/>
    <w:rPr>
      <w:color w:val="0563C1" w:themeColor="hyperlink"/>
      <w:u w:val="single"/>
    </w:rPr>
  </w:style>
  <w:style w:type="paragraph" w:styleId="NormaaliWWW">
    <w:name w:val="Normal (Web)"/>
    <w:basedOn w:val="Normaali"/>
    <w:uiPriority w:val="99"/>
    <w:semiHidden/>
    <w:unhideWhenUsed/>
    <w:rsid w:val="007E79AD"/>
    <w:pPr>
      <w:spacing w:before="100" w:beforeAutospacing="1" w:after="100" w:afterAutospacing="1"/>
    </w:pPr>
    <w:rPr>
      <w:rFonts w:ascii="Times New Roman" w:eastAsia="Times New Roman" w:hAnsi="Times New Roman"/>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0BC001F1834EE0A8AD8FD1BD6C3E6E"/>
        <w:category>
          <w:name w:val="General"/>
          <w:gallery w:val="placeholder"/>
        </w:category>
        <w:types>
          <w:type w:val="bbPlcHdr"/>
        </w:types>
        <w:behaviors>
          <w:behavior w:val="content"/>
        </w:behaviors>
        <w:guid w:val="{4E117A60-6E50-4E1F-9008-52FE0320A160}"/>
      </w:docPartPr>
      <w:docPartBody>
        <w:p w:rsidR="00E9131F" w:rsidRDefault="00E9131F" w:rsidP="00E9131F">
          <w:pPr>
            <w:pStyle w:val="1D0BC001F1834EE0A8AD8FD1BD6C3E6E"/>
          </w:pPr>
          <w:r>
            <w:rPr>
              <w:rStyle w:val="Paikkamerkkiteksti"/>
            </w:rPr>
            <w:t>[Author name]</w:t>
          </w:r>
        </w:p>
      </w:docPartBody>
    </w:docPart>
    <w:docPart>
      <w:docPartPr>
        <w:name w:val="F01D9A38895F4729889673F1CB546006"/>
        <w:category>
          <w:name w:val="General"/>
          <w:gallery w:val="placeholder"/>
        </w:category>
        <w:types>
          <w:type w:val="bbPlcHdr"/>
        </w:types>
        <w:behaviors>
          <w:behavior w:val="content"/>
        </w:behaviors>
        <w:guid w:val="{2463853F-4DAC-44E1-84FE-2F52D1DE6DA9}"/>
      </w:docPartPr>
      <w:docPartBody>
        <w:p w:rsidR="00E9131F" w:rsidRDefault="00E9131F" w:rsidP="00E9131F">
          <w:pPr>
            <w:pStyle w:val="F01D9A38895F4729889673F1CB546006"/>
          </w:pPr>
          <w:r>
            <w:rPr>
              <w:rStyle w:val="Paikkamerkkiteksti"/>
            </w:rPr>
            <w:t>[Date]</w:t>
          </w:r>
        </w:p>
      </w:docPartBody>
    </w:docPart>
    <w:docPart>
      <w:docPartPr>
        <w:name w:val="58C5DB461ED846A1B2CAC0921D31DDF3"/>
        <w:category>
          <w:name w:val="General"/>
          <w:gallery w:val="placeholder"/>
        </w:category>
        <w:types>
          <w:type w:val="bbPlcHdr"/>
        </w:types>
        <w:behaviors>
          <w:behavior w:val="content"/>
        </w:behaviors>
        <w:guid w:val="{695AA588-3607-4918-8A3F-DD98C209AB21}"/>
      </w:docPartPr>
      <w:docPartBody>
        <w:p w:rsidR="00E9131F" w:rsidRDefault="00E9131F" w:rsidP="00E9131F">
          <w:pPr>
            <w:pStyle w:val="58C5DB461ED846A1B2CAC0921D31DDF3"/>
          </w:pPr>
          <w:r>
            <w:rPr>
              <w:color w:val="0E2841"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1F"/>
    <w:rsid w:val="00032934"/>
    <w:rsid w:val="001A515B"/>
    <w:rsid w:val="00424C82"/>
    <w:rsid w:val="004C2821"/>
    <w:rsid w:val="00665696"/>
    <w:rsid w:val="00AF3C4D"/>
    <w:rsid w:val="00B95C9F"/>
    <w:rsid w:val="00C04122"/>
    <w:rsid w:val="00C163D4"/>
    <w:rsid w:val="00D44A16"/>
    <w:rsid w:val="00E913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9131F"/>
    <w:rPr>
      <w:color w:val="808080"/>
    </w:rPr>
  </w:style>
  <w:style w:type="paragraph" w:customStyle="1" w:styleId="1D0BC001F1834EE0A8AD8FD1BD6C3E6E">
    <w:name w:val="1D0BC001F1834EE0A8AD8FD1BD6C3E6E"/>
    <w:rsid w:val="00E9131F"/>
  </w:style>
  <w:style w:type="paragraph" w:customStyle="1" w:styleId="F01D9A38895F4729889673F1CB546006">
    <w:name w:val="F01D9A38895F4729889673F1CB546006"/>
    <w:rsid w:val="00E9131F"/>
  </w:style>
  <w:style w:type="paragraph" w:customStyle="1" w:styleId="58C5DB461ED846A1B2CAC0921D31DDF3">
    <w:name w:val="58C5DB461ED846A1B2CAC0921D31DDF3"/>
    <w:rsid w:val="00E91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AAB7948AF2FE4EB4E206A333BD5906" ma:contentTypeVersion="12" ma:contentTypeDescription="Create a new document." ma:contentTypeScope="" ma:versionID="875be72306df0862156f0186b2771d25">
  <xsd:schema xmlns:xsd="http://www.w3.org/2001/XMLSchema" xmlns:xs="http://www.w3.org/2001/XMLSchema" xmlns:p="http://schemas.microsoft.com/office/2006/metadata/properties" xmlns:ns2="c877dc83-04f8-496d-b42c-c6bad9029e40" targetNamespace="http://schemas.microsoft.com/office/2006/metadata/properties" ma:root="true" ma:fieldsID="f262c39068603b9ee9975a1bca6fc6c2" ns2:_="">
    <xsd:import namespace="c877dc83-04f8-496d-b42c-c6bad9029e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7dc83-04f8-496d-b42c-c6bad902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730cc84-9172-45a1-bb75-c7f2f2d5439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877dc83-04f8-496d-b42c-c6bad9029e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1DCFD-EBA3-41D5-A516-C1F6EDF24B0D}">
  <ds:schemaRefs>
    <ds:schemaRef ds:uri="http://schemas.openxmlformats.org/officeDocument/2006/bibliography"/>
  </ds:schemaRefs>
</ds:datastoreItem>
</file>

<file path=customXml/itemProps3.xml><?xml version="1.0" encoding="utf-8"?>
<ds:datastoreItem xmlns:ds="http://schemas.openxmlformats.org/officeDocument/2006/customXml" ds:itemID="{91893971-B92C-4756-9C4D-E779C430823E}">
  <ds:schemaRefs>
    <ds:schemaRef ds:uri="http://schemas.microsoft.com/sharepoint/v3/contenttype/forms"/>
  </ds:schemaRefs>
</ds:datastoreItem>
</file>

<file path=customXml/itemProps4.xml><?xml version="1.0" encoding="utf-8"?>
<ds:datastoreItem xmlns:ds="http://schemas.openxmlformats.org/officeDocument/2006/customXml" ds:itemID="{AA68F05A-7715-489B-93C4-EB0966202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7dc83-04f8-496d-b42c-c6bad9029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261E4B-B1A8-442A-BDBF-9E7EE9FC5E6D}">
  <ds:schemaRefs>
    <ds:schemaRef ds:uri="http://schemas.microsoft.com/office/2006/metadata/properties"/>
    <ds:schemaRef ds:uri="http://schemas.microsoft.com/office/infopath/2007/PartnerControls"/>
    <ds:schemaRef ds:uri="c877dc83-04f8-496d-b42c-c6bad9029e40"/>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1597</Words>
  <Characters>12937</Characters>
  <Application>Microsoft Office Word</Application>
  <DocSecurity>0</DocSecurity>
  <Lines>107</Lines>
  <Paragraphs>29</Paragraphs>
  <ScaleCrop>false</ScaleCrop>
  <Company>Centria</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name</dc:creator>
  <cp:keywords/>
  <dc:description/>
  <cp:lastModifiedBy>Harri Joensuu</cp:lastModifiedBy>
  <cp:revision>69</cp:revision>
  <dcterms:created xsi:type="dcterms:W3CDTF">2025-03-28T06:30:00Z</dcterms:created>
  <dcterms:modified xsi:type="dcterms:W3CDTF">2025-11-04T12:14:00Z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0x01010064AAB7948AF2FE4EB4E206A333BD5906</vt:lpwstr>
  </property>
  <property fmtid="{D5CDD505-2E9C-101B-9397-08002B2CF9AE}" pid="3" name="MediaServiceImageTags">
    <vt:lpwstr/>
  </property>
</Properties>
</file>